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CF9B2" w14:textId="4E5FFE8E" w:rsidR="006D57E5" w:rsidRPr="00EA3A49" w:rsidRDefault="00BA1F4C" w:rsidP="00652D6F">
      <w:pPr>
        <w:pStyle w:val="MainTitle"/>
      </w:pPr>
      <w:bookmarkStart w:id="0" w:name="_GoBack"/>
      <w:bookmarkEnd w:id="0"/>
      <w:r w:rsidRPr="00EA3A49">
        <w:t>Children (Scotland) Bill</w:t>
      </w:r>
      <w:r w:rsidR="00652D6F" w:rsidRPr="00EA3A49">
        <w:t xml:space="preserve"> – stage </w:t>
      </w:r>
      <w:r w:rsidR="006C5C63" w:rsidRPr="00EA3A49">
        <w:t>3</w:t>
      </w:r>
      <w:r w:rsidR="00652D6F" w:rsidRPr="00EA3A49">
        <w:t xml:space="preserve"> briefing</w:t>
      </w:r>
    </w:p>
    <w:p w14:paraId="7E584E0F" w14:textId="0036E687" w:rsidR="00652D6F" w:rsidRPr="00870F92" w:rsidRDefault="00652D6F" w:rsidP="009B5F3A">
      <w:pPr>
        <w:pStyle w:val="Body"/>
        <w:rPr>
          <w:lang w:eastAsia="en-GB"/>
        </w:rPr>
      </w:pPr>
      <w:r w:rsidRPr="00870F92">
        <w:rPr>
          <w:lang w:eastAsia="en-GB"/>
        </w:rPr>
        <w:t xml:space="preserve">The Law Society of Scotland is the professional body </w:t>
      </w:r>
      <w:r w:rsidRPr="00870F92">
        <w:rPr>
          <w:color w:val="auto"/>
          <w:lang w:eastAsia="en-GB"/>
        </w:rPr>
        <w:t xml:space="preserve">for almost 12,000 </w:t>
      </w:r>
      <w:r w:rsidRPr="00870F92">
        <w:rPr>
          <w:lang w:eastAsia="en-GB"/>
        </w:rPr>
        <w:t>Scottish solicitors. We seek to influence the creation of a fairer and more just society and are strongly committed to our statutory duty to work in the public interest and to both protect and promote the rule of law.</w:t>
      </w:r>
    </w:p>
    <w:p w14:paraId="55368882" w14:textId="54B35D3E" w:rsidR="00652D6F" w:rsidRPr="00870F92" w:rsidRDefault="00652D6F" w:rsidP="009B5F3A">
      <w:pPr>
        <w:pStyle w:val="Body"/>
      </w:pPr>
      <w:r w:rsidRPr="00870F92">
        <w:rPr>
          <w:lang w:eastAsia="en-GB"/>
        </w:rPr>
        <w:t xml:space="preserve">As a professional body, we have experience of the current disclosure system. </w:t>
      </w:r>
      <w:r w:rsidRPr="00870F92">
        <w:t xml:space="preserve">The scheme is integral to how we promote and maintain professional principles as a regulator - on admission to the profession, re-entry to the profession or as part of our anti-money laundering regulation. Any reforms to the current disclosure system must not diminish the protection to the public, while respecting the rights of the individual and ensuring that the process is clear, predictable and certain to all involved. </w:t>
      </w:r>
    </w:p>
    <w:p w14:paraId="20990A0C" w14:textId="0868E42B" w:rsidR="0085739B" w:rsidRPr="00870F92" w:rsidRDefault="0085739B" w:rsidP="0085739B">
      <w:pPr>
        <w:pStyle w:val="Body"/>
      </w:pPr>
      <w:r w:rsidRPr="00870F92">
        <w:t xml:space="preserve">We provided </w:t>
      </w:r>
      <w:hyperlink r:id="rId8" w:history="1">
        <w:r w:rsidRPr="00870F92">
          <w:rPr>
            <w:rStyle w:val="Hyperlink"/>
          </w:rPr>
          <w:t>written evidence</w:t>
        </w:r>
      </w:hyperlink>
      <w:r w:rsidRPr="00870F92">
        <w:t xml:space="preserve"> to the Justice Committee call for views in November 2019 and had previously provided </w:t>
      </w:r>
      <w:hyperlink r:id="rId9" w:history="1">
        <w:r w:rsidRPr="00870F92">
          <w:rPr>
            <w:rStyle w:val="Hyperlink"/>
          </w:rPr>
          <w:t>our response</w:t>
        </w:r>
      </w:hyperlink>
      <w:r w:rsidRPr="00870F92">
        <w:t xml:space="preserve"> to the Scottish Government consultation on the review of Part 1 of the Children (Scotland) Act 1995 and creation of a family justice modernisation strategy in September 2018.</w:t>
      </w:r>
    </w:p>
    <w:p w14:paraId="3B060995" w14:textId="1322EB08" w:rsidR="008C7D72" w:rsidRPr="00870F92" w:rsidRDefault="008C7D72" w:rsidP="008C7D72">
      <w:pPr>
        <w:rPr>
          <w:rFonts w:ascii="Open Sans" w:hAnsi="Open Sans" w:cs="Open Sans"/>
          <w:sz w:val="21"/>
          <w:szCs w:val="21"/>
        </w:rPr>
      </w:pPr>
      <w:r w:rsidRPr="00870F92">
        <w:rPr>
          <w:rFonts w:ascii="Open Sans" w:hAnsi="Open Sans" w:cs="Open Sans"/>
          <w:sz w:val="21"/>
          <w:szCs w:val="21"/>
        </w:rPr>
        <w:t xml:space="preserve">There are several significant amendments proposed at stage 3. We do not support the changes proposed around child welfare reporters, the provision around professional misconduct for referrals to child contact </w:t>
      </w:r>
      <w:r w:rsidR="00D81922">
        <w:rPr>
          <w:rFonts w:ascii="Open Sans" w:hAnsi="Open Sans" w:cs="Open Sans"/>
          <w:sz w:val="21"/>
          <w:szCs w:val="21"/>
        </w:rPr>
        <w:t>services</w:t>
      </w:r>
      <w:r w:rsidRPr="00870F92">
        <w:rPr>
          <w:rFonts w:ascii="Open Sans" w:hAnsi="Open Sans" w:cs="Open Sans"/>
          <w:sz w:val="21"/>
          <w:szCs w:val="21"/>
        </w:rPr>
        <w:t xml:space="preserve"> or ADR. We do support changes around the expression of views by the child, and effective participation. Our briefing provides more detail around each of these areas, which we hope helpful for the scrutiny of the Bill at stage 3. </w:t>
      </w:r>
    </w:p>
    <w:p w14:paraId="17F733A1" w14:textId="77777777" w:rsidR="008C7D72" w:rsidRPr="008C7D72" w:rsidRDefault="008C7D72" w:rsidP="008C7D72"/>
    <w:p w14:paraId="0DDA9425" w14:textId="509F850F" w:rsidR="00D25641" w:rsidRPr="00EA3A49" w:rsidRDefault="00D25641" w:rsidP="00D25641">
      <w:pPr>
        <w:pStyle w:val="Heading"/>
        <w:rPr>
          <w:lang w:val="en-US"/>
        </w:rPr>
      </w:pPr>
      <w:r w:rsidRPr="00EA3A49">
        <w:rPr>
          <w:lang w:val="en-US"/>
        </w:rPr>
        <w:t>Child welfare reporters</w:t>
      </w:r>
    </w:p>
    <w:p w14:paraId="15720A1D" w14:textId="4D672401" w:rsidR="00D25641" w:rsidRPr="00B173DA" w:rsidRDefault="001D5EAE" w:rsidP="00D25641">
      <w:pPr>
        <w:pStyle w:val="Body"/>
      </w:pPr>
      <w:r w:rsidRPr="00B173DA">
        <w:t xml:space="preserve">The role of child welfare reporters is crucial in ensuring the welfare of the child. Around 90% of this work is currently conducted by solicitors, </w:t>
      </w:r>
      <w:r w:rsidR="00E93BC2" w:rsidRPr="00B173DA">
        <w:t>effectively and to high standards. The Bill would introduce a register for these reporters, with the ability to make regulations to specify the standards for inclusion or retention on the register, the process for inclusion (or removal) from that register, appointment and remuneration in individual cases</w:t>
      </w:r>
      <w:r w:rsidR="001A66C7" w:rsidRPr="00B173DA">
        <w:t xml:space="preserve"> (and for publicly funded cases under the legal aid system, there are already controls around remuneration). </w:t>
      </w:r>
    </w:p>
    <w:p w14:paraId="31C12767" w14:textId="28A776C2" w:rsidR="00EA3A49" w:rsidRPr="00B173DA" w:rsidRDefault="00E93BC2" w:rsidP="00E93BC2">
      <w:pPr>
        <w:rPr>
          <w:rFonts w:ascii="Open Sans" w:hAnsi="Open Sans" w:cs="Open Sans"/>
          <w:sz w:val="21"/>
          <w:szCs w:val="21"/>
        </w:rPr>
      </w:pPr>
      <w:r w:rsidRPr="00B173DA">
        <w:rPr>
          <w:rFonts w:ascii="Open Sans" w:hAnsi="Open Sans" w:cs="Open Sans"/>
          <w:sz w:val="21"/>
          <w:szCs w:val="21"/>
        </w:rPr>
        <w:t>Though we maintain that the current system delivers on this crucial role, representing the welfare of the child effectively, we appreciate the rationale for the establishment of a register and hope to work with Scottish Government and other stakeholders to ensure an effective registration regime. An amendment suggested for stage 3 is that “only a social worker registered with the Scottish Social Services Council may be appointed as a child welfare reporter”</w:t>
      </w:r>
      <w:r w:rsidRPr="00B173DA">
        <w:rPr>
          <w:rStyle w:val="EndnoteReference"/>
          <w:rFonts w:ascii="Open Sans" w:hAnsi="Open Sans" w:cs="Open Sans"/>
          <w:sz w:val="21"/>
          <w:szCs w:val="21"/>
        </w:rPr>
        <w:endnoteReference w:id="1"/>
      </w:r>
      <w:r w:rsidR="007815F6" w:rsidRPr="00B173DA">
        <w:rPr>
          <w:rFonts w:ascii="Open Sans" w:hAnsi="Open Sans" w:cs="Open Sans"/>
          <w:sz w:val="21"/>
          <w:szCs w:val="21"/>
        </w:rPr>
        <w:t>.</w:t>
      </w:r>
    </w:p>
    <w:p w14:paraId="3B83BFAD" w14:textId="485D2976" w:rsidR="00EA3A49" w:rsidRPr="00B173DA" w:rsidRDefault="00EA3A49" w:rsidP="00E93BC2">
      <w:pPr>
        <w:rPr>
          <w:rFonts w:ascii="Open Sans" w:hAnsi="Open Sans" w:cs="Open Sans"/>
          <w:sz w:val="21"/>
          <w:szCs w:val="21"/>
        </w:rPr>
      </w:pPr>
    </w:p>
    <w:p w14:paraId="10398CB3" w14:textId="1086E95C" w:rsidR="00EA3A49" w:rsidRPr="00B173DA" w:rsidRDefault="00EA3A49" w:rsidP="00EA3A49">
      <w:pPr>
        <w:rPr>
          <w:rFonts w:ascii="Open Sans" w:hAnsi="Open Sans" w:cs="Open Sans"/>
          <w:sz w:val="21"/>
          <w:szCs w:val="21"/>
        </w:rPr>
      </w:pPr>
      <w:r w:rsidRPr="00B173DA">
        <w:rPr>
          <w:rFonts w:ascii="Open Sans" w:hAnsi="Open Sans" w:cs="Open Sans"/>
          <w:sz w:val="21"/>
          <w:szCs w:val="21"/>
        </w:rPr>
        <w:t xml:space="preserve">We do not support this amendment, as we believe the change is unnecessary. The Sheriff already has the power to call for a social work report in a child welfare case, in terms of OCR 33.21A. The practical effect of this amendment, therefore, would be to reduce the sheriff’s options by making the appointment of child welfare reporters as an alternative redundant. Given children’s cases can be infinitely varied in circumstance, a broader suite of options for a sheriff allows the sheriff to take the step best suited to a child’s individual circumstances, which is consistent with the welfare-centred focus of the legislation. </w:t>
      </w:r>
    </w:p>
    <w:p w14:paraId="61ECD43B" w14:textId="77777777" w:rsidR="00EA3A49" w:rsidRPr="00B173DA" w:rsidRDefault="00EA3A49" w:rsidP="00EA3A49">
      <w:pPr>
        <w:pStyle w:val="xmsolistparagraph"/>
        <w:shd w:val="clear" w:color="auto" w:fill="FFFFFF"/>
        <w:spacing w:before="0" w:beforeAutospacing="0" w:after="0" w:afterAutospacing="0"/>
        <w:rPr>
          <w:rFonts w:ascii="Open Sans" w:hAnsi="Open Sans" w:cs="Open Sans"/>
          <w:sz w:val="21"/>
          <w:szCs w:val="21"/>
        </w:rPr>
      </w:pPr>
    </w:p>
    <w:p w14:paraId="0232F453" w14:textId="687FDC80" w:rsidR="00EA3A49" w:rsidRPr="00B173DA" w:rsidRDefault="00EA3A49" w:rsidP="00EA3A49">
      <w:pPr>
        <w:pStyle w:val="xmsolistparagraph"/>
        <w:shd w:val="clear" w:color="auto" w:fill="FFFFFF"/>
        <w:spacing w:before="0" w:beforeAutospacing="0" w:after="0" w:afterAutospacing="0"/>
        <w:rPr>
          <w:rFonts w:ascii="Open Sans" w:hAnsi="Open Sans" w:cs="Open Sans"/>
          <w:sz w:val="21"/>
          <w:szCs w:val="21"/>
        </w:rPr>
      </w:pPr>
      <w:r w:rsidRPr="00B173DA">
        <w:rPr>
          <w:rFonts w:ascii="Open Sans" w:hAnsi="Open Sans" w:cs="Open Sans"/>
          <w:sz w:val="21"/>
          <w:szCs w:val="21"/>
        </w:rPr>
        <w:t xml:space="preserve">The proposal at this stage would leave the question of resources unaddressed. It seems highly unlikely that the present level of reports could be replaced by social worker-only reports without a significant impact of both the timescales for and progress of child welfare case and other, essential child protection work those social workers are needed for. </w:t>
      </w:r>
    </w:p>
    <w:p w14:paraId="77D3D7E2" w14:textId="77777777" w:rsidR="00EA3A49" w:rsidRPr="00B173DA" w:rsidRDefault="00EA3A49" w:rsidP="00EA3A49">
      <w:pPr>
        <w:pStyle w:val="xmsonormal"/>
        <w:shd w:val="clear" w:color="auto" w:fill="FFFFFF"/>
        <w:spacing w:before="0" w:beforeAutospacing="0" w:after="0" w:afterAutospacing="0"/>
        <w:rPr>
          <w:rFonts w:ascii="Open Sans" w:hAnsi="Open Sans" w:cs="Open Sans"/>
          <w:sz w:val="21"/>
          <w:szCs w:val="21"/>
        </w:rPr>
      </w:pPr>
      <w:r w:rsidRPr="00B173DA">
        <w:rPr>
          <w:rFonts w:ascii="Open Sans" w:hAnsi="Open Sans" w:cs="Open Sans"/>
          <w:sz w:val="21"/>
          <w:szCs w:val="21"/>
        </w:rPr>
        <w:t> </w:t>
      </w:r>
    </w:p>
    <w:p w14:paraId="6CD3FEC3" w14:textId="77777777" w:rsidR="00B173DA" w:rsidRPr="00B173DA" w:rsidRDefault="00EA3A49" w:rsidP="00B173DA">
      <w:pPr>
        <w:pStyle w:val="xmsolistparagraph"/>
        <w:shd w:val="clear" w:color="auto" w:fill="FFFFFF"/>
        <w:spacing w:before="0" w:beforeAutospacing="0" w:after="0" w:afterAutospacing="0"/>
        <w:rPr>
          <w:rFonts w:ascii="Open Sans" w:hAnsi="Open Sans" w:cs="Open Sans"/>
          <w:sz w:val="21"/>
          <w:szCs w:val="21"/>
        </w:rPr>
      </w:pPr>
      <w:r w:rsidRPr="00B173DA">
        <w:rPr>
          <w:rFonts w:ascii="Open Sans" w:hAnsi="Open Sans" w:cs="Open Sans"/>
          <w:sz w:val="21"/>
          <w:szCs w:val="21"/>
        </w:rPr>
        <w:lastRenderedPageBreak/>
        <w:t xml:space="preserve">The proposed change may misunderstand the function of a child welfare reporter. Whilst such reporters almost always involve a recommendation being given, their principal purpose is to ingather information for the sheriff to assist in his or her decision making. In those circumstances, and bearing in mind we are less likely to be dealing with the cohort of particularly vulnerable children (as, logically, those children should be within the children’s hearing system), </w:t>
      </w:r>
      <w:r w:rsidR="00B173DA" w:rsidRPr="00B173DA">
        <w:rPr>
          <w:rFonts w:ascii="Open Sans" w:hAnsi="Open Sans" w:cs="Open Sans"/>
          <w:sz w:val="21"/>
          <w:szCs w:val="21"/>
        </w:rPr>
        <w:t>it is unclear</w:t>
      </w:r>
      <w:r w:rsidRPr="00B173DA">
        <w:rPr>
          <w:rFonts w:ascii="Open Sans" w:hAnsi="Open Sans" w:cs="Open Sans"/>
          <w:sz w:val="21"/>
          <w:szCs w:val="21"/>
        </w:rPr>
        <w:t xml:space="preserve"> w</w:t>
      </w:r>
      <w:r w:rsidR="00B173DA" w:rsidRPr="00B173DA">
        <w:rPr>
          <w:rFonts w:ascii="Open Sans" w:hAnsi="Open Sans" w:cs="Open Sans"/>
          <w:sz w:val="21"/>
          <w:szCs w:val="21"/>
        </w:rPr>
        <w:t>hy</w:t>
      </w:r>
      <w:r w:rsidRPr="00B173DA">
        <w:rPr>
          <w:rFonts w:ascii="Open Sans" w:hAnsi="Open Sans" w:cs="Open Sans"/>
          <w:sz w:val="21"/>
          <w:szCs w:val="21"/>
        </w:rPr>
        <w:t xml:space="preserve"> a social worker’s expertise </w:t>
      </w:r>
      <w:r w:rsidR="00B173DA" w:rsidRPr="00B173DA">
        <w:rPr>
          <w:rFonts w:ascii="Open Sans" w:hAnsi="Open Sans" w:cs="Open Sans"/>
          <w:sz w:val="21"/>
          <w:szCs w:val="21"/>
        </w:rPr>
        <w:t xml:space="preserve">would </w:t>
      </w:r>
      <w:r w:rsidRPr="00B173DA">
        <w:rPr>
          <w:rFonts w:ascii="Open Sans" w:hAnsi="Open Sans" w:cs="Open Sans"/>
          <w:sz w:val="21"/>
          <w:szCs w:val="21"/>
        </w:rPr>
        <w:t>be needed to discharge that function</w:t>
      </w:r>
      <w:r w:rsidR="00B173DA" w:rsidRPr="00B173DA">
        <w:rPr>
          <w:rFonts w:ascii="Open Sans" w:hAnsi="Open Sans" w:cs="Open Sans"/>
          <w:sz w:val="21"/>
          <w:szCs w:val="21"/>
        </w:rPr>
        <w:t xml:space="preserve">. </w:t>
      </w:r>
    </w:p>
    <w:p w14:paraId="554D008F" w14:textId="50D0943E" w:rsidR="00EA3A49" w:rsidRPr="00B173DA" w:rsidRDefault="00EA3A49" w:rsidP="00B173DA">
      <w:pPr>
        <w:pStyle w:val="xmsolistparagraph"/>
        <w:shd w:val="clear" w:color="auto" w:fill="FFFFFF"/>
        <w:spacing w:before="0" w:beforeAutospacing="0" w:after="0" w:afterAutospacing="0"/>
        <w:rPr>
          <w:rFonts w:ascii="Open Sans" w:hAnsi="Open Sans" w:cs="Open Sans"/>
          <w:sz w:val="21"/>
          <w:szCs w:val="21"/>
        </w:rPr>
      </w:pPr>
      <w:r w:rsidRPr="00B173DA">
        <w:rPr>
          <w:rFonts w:ascii="Open Sans" w:hAnsi="Open Sans" w:cs="Open Sans"/>
          <w:sz w:val="21"/>
          <w:szCs w:val="21"/>
        </w:rPr>
        <w:t> </w:t>
      </w:r>
    </w:p>
    <w:p w14:paraId="061B5E0C" w14:textId="78ABBA9D" w:rsidR="00EA3A49" w:rsidRPr="00B173DA" w:rsidRDefault="00EA3A49" w:rsidP="00B173DA">
      <w:pPr>
        <w:pStyle w:val="xmsolistparagraph"/>
        <w:shd w:val="clear" w:color="auto" w:fill="FFFFFF"/>
        <w:spacing w:before="0" w:beforeAutospacing="0" w:after="0" w:afterAutospacing="0"/>
        <w:rPr>
          <w:rFonts w:ascii="Open Sans" w:hAnsi="Open Sans" w:cs="Open Sans"/>
          <w:sz w:val="21"/>
          <w:szCs w:val="21"/>
        </w:rPr>
      </w:pPr>
      <w:r w:rsidRPr="00B173DA">
        <w:rPr>
          <w:rFonts w:ascii="Open Sans" w:hAnsi="Open Sans" w:cs="Open Sans"/>
          <w:sz w:val="21"/>
          <w:szCs w:val="21"/>
        </w:rPr>
        <w:t xml:space="preserve">Existing s11 social work reports are of variable quality. Social workers are used to carrying out structured assessments, under the GIRFEC framework. They are skilled at those reports because they have specialist knowledge of that framework. By contrast, s11 reports from social workers are unstructured reports. Without detailed knowledge of the procedure rules, rules of evidence and the role their report plays in the wider court process, in some cases their reports can be less helpful than, say, a report from an experienced family law practitioner. </w:t>
      </w:r>
    </w:p>
    <w:p w14:paraId="62F39BA5" w14:textId="77777777" w:rsidR="00EA3A49" w:rsidRPr="00EA3A49" w:rsidRDefault="00EA3A49" w:rsidP="00EA3A49">
      <w:pPr>
        <w:pStyle w:val="xmsolistparagraph"/>
        <w:shd w:val="clear" w:color="auto" w:fill="FFFFFF"/>
        <w:spacing w:before="0" w:beforeAutospacing="0" w:after="0" w:afterAutospacing="0"/>
        <w:ind w:left="720"/>
        <w:rPr>
          <w:rFonts w:ascii="Open Sans" w:hAnsi="Open Sans" w:cs="Open Sans"/>
        </w:rPr>
      </w:pPr>
      <w:r w:rsidRPr="00EA3A49">
        <w:rPr>
          <w:rFonts w:ascii="Open Sans" w:hAnsi="Open Sans" w:cs="Open Sans"/>
        </w:rPr>
        <w:t> </w:t>
      </w:r>
    </w:p>
    <w:p w14:paraId="78777E41" w14:textId="77777777" w:rsidR="00B173DA" w:rsidRDefault="00B173DA" w:rsidP="00B173DA">
      <w:pPr>
        <w:pStyle w:val="xmsolistparagraph"/>
        <w:shd w:val="clear" w:color="auto" w:fill="FFFFFF"/>
        <w:spacing w:before="0" w:beforeAutospacing="0" w:after="0" w:afterAutospacing="0"/>
        <w:rPr>
          <w:rFonts w:ascii="Open Sans" w:hAnsi="Open Sans" w:cs="Open Sans"/>
          <w:sz w:val="21"/>
          <w:szCs w:val="21"/>
        </w:rPr>
      </w:pPr>
      <w:r>
        <w:rPr>
          <w:rFonts w:ascii="Open Sans" w:hAnsi="Open Sans" w:cs="Open Sans"/>
          <w:sz w:val="21"/>
          <w:szCs w:val="21"/>
        </w:rPr>
        <w:t>There may be u</w:t>
      </w:r>
      <w:r w:rsidR="00EA3A49" w:rsidRPr="00B173DA">
        <w:rPr>
          <w:rFonts w:ascii="Open Sans" w:hAnsi="Open Sans" w:cs="Open Sans"/>
          <w:sz w:val="21"/>
          <w:szCs w:val="21"/>
        </w:rPr>
        <w:t xml:space="preserve">nintended consequences </w:t>
      </w:r>
      <w:r>
        <w:rPr>
          <w:rFonts w:ascii="Open Sans" w:hAnsi="Open Sans" w:cs="Open Sans"/>
          <w:sz w:val="21"/>
          <w:szCs w:val="21"/>
        </w:rPr>
        <w:t xml:space="preserve">to </w:t>
      </w:r>
      <w:r w:rsidR="00EA3A49" w:rsidRPr="00B173DA">
        <w:rPr>
          <w:rFonts w:ascii="Open Sans" w:hAnsi="Open Sans" w:cs="Open Sans"/>
          <w:sz w:val="21"/>
          <w:szCs w:val="21"/>
        </w:rPr>
        <w:t>th</w:t>
      </w:r>
      <w:r>
        <w:rPr>
          <w:rFonts w:ascii="Open Sans" w:hAnsi="Open Sans" w:cs="Open Sans"/>
          <w:sz w:val="21"/>
          <w:szCs w:val="21"/>
        </w:rPr>
        <w:t>is proposed</w:t>
      </w:r>
      <w:r w:rsidR="00EA3A49" w:rsidRPr="00B173DA">
        <w:rPr>
          <w:rFonts w:ascii="Open Sans" w:hAnsi="Open Sans" w:cs="Open Sans"/>
          <w:sz w:val="21"/>
          <w:szCs w:val="21"/>
        </w:rPr>
        <w:t xml:space="preserve"> change</w:t>
      </w:r>
      <w:r>
        <w:rPr>
          <w:rFonts w:ascii="Open Sans" w:hAnsi="Open Sans" w:cs="Open Sans"/>
          <w:sz w:val="21"/>
          <w:szCs w:val="21"/>
        </w:rPr>
        <w:t xml:space="preserve"> and we highlight three possible areas: </w:t>
      </w:r>
    </w:p>
    <w:p w14:paraId="643F9E05" w14:textId="77777777" w:rsidR="00B173DA" w:rsidRDefault="00B173DA" w:rsidP="00B173DA">
      <w:pPr>
        <w:pStyle w:val="xmsolistparagraph"/>
        <w:numPr>
          <w:ilvl w:val="0"/>
          <w:numId w:val="23"/>
        </w:numPr>
        <w:shd w:val="clear" w:color="auto" w:fill="FFFFFF"/>
        <w:spacing w:before="0" w:beforeAutospacing="0" w:after="0" w:afterAutospacing="0"/>
        <w:rPr>
          <w:rFonts w:ascii="Open Sans" w:hAnsi="Open Sans" w:cs="Open Sans"/>
          <w:sz w:val="21"/>
          <w:szCs w:val="21"/>
        </w:rPr>
      </w:pPr>
      <w:r>
        <w:rPr>
          <w:rFonts w:ascii="Open Sans" w:hAnsi="Open Sans" w:cs="Open Sans"/>
          <w:sz w:val="21"/>
          <w:szCs w:val="21"/>
        </w:rPr>
        <w:t>I</w:t>
      </w:r>
      <w:r w:rsidR="00EA3A49" w:rsidRPr="00B173DA">
        <w:rPr>
          <w:rFonts w:ascii="Open Sans" w:hAnsi="Open Sans" w:cs="Open Sans"/>
          <w:sz w:val="21"/>
          <w:szCs w:val="21"/>
        </w:rPr>
        <w:t xml:space="preserve">n particularly contentious cases, a child welfare reporter might subsequently be appointed as curator and </w:t>
      </w:r>
      <w:proofErr w:type="spellStart"/>
      <w:r w:rsidR="00EA3A49" w:rsidRPr="00B173DA">
        <w:rPr>
          <w:rFonts w:ascii="Open Sans" w:hAnsi="Open Sans" w:cs="Open Sans"/>
          <w:sz w:val="21"/>
          <w:szCs w:val="21"/>
        </w:rPr>
        <w:t>sisted</w:t>
      </w:r>
      <w:proofErr w:type="spellEnd"/>
      <w:r w:rsidR="00EA3A49" w:rsidRPr="00B173DA">
        <w:rPr>
          <w:rFonts w:ascii="Open Sans" w:hAnsi="Open Sans" w:cs="Open Sans"/>
          <w:sz w:val="21"/>
          <w:szCs w:val="21"/>
        </w:rPr>
        <w:t xml:space="preserve"> as a party so as to help protect the child’s interests throughout the process. If child welfare reporters are all social workers, they couldn’t be</w:t>
      </w:r>
      <w:r>
        <w:rPr>
          <w:rFonts w:ascii="Open Sans" w:hAnsi="Open Sans" w:cs="Open Sans"/>
          <w:sz w:val="21"/>
          <w:szCs w:val="21"/>
        </w:rPr>
        <w:t xml:space="preserve">, </w:t>
      </w:r>
      <w:r w:rsidR="00EA3A49" w:rsidRPr="00B173DA">
        <w:rPr>
          <w:rFonts w:ascii="Open Sans" w:hAnsi="Open Sans" w:cs="Open Sans"/>
          <w:sz w:val="21"/>
          <w:szCs w:val="21"/>
        </w:rPr>
        <w:t>meaning either that valuable option disappears or a Solicitor curator is appointed, meaning the child has to deal with a second individual.</w:t>
      </w:r>
      <w:r>
        <w:rPr>
          <w:rFonts w:ascii="Open Sans" w:hAnsi="Open Sans" w:cs="Open Sans"/>
          <w:sz w:val="21"/>
          <w:szCs w:val="21"/>
        </w:rPr>
        <w:t xml:space="preserve"> </w:t>
      </w:r>
    </w:p>
    <w:p w14:paraId="047038F9" w14:textId="77777777" w:rsidR="00B173DA" w:rsidRDefault="00B173DA" w:rsidP="00B173DA">
      <w:pPr>
        <w:pStyle w:val="xmsolistparagraph"/>
        <w:numPr>
          <w:ilvl w:val="0"/>
          <w:numId w:val="23"/>
        </w:numPr>
        <w:shd w:val="clear" w:color="auto" w:fill="FFFFFF"/>
        <w:spacing w:before="0" w:beforeAutospacing="0" w:after="0" w:afterAutospacing="0"/>
        <w:rPr>
          <w:rFonts w:ascii="Open Sans" w:hAnsi="Open Sans" w:cs="Open Sans"/>
          <w:sz w:val="21"/>
          <w:szCs w:val="21"/>
        </w:rPr>
      </w:pPr>
      <w:r>
        <w:rPr>
          <w:rFonts w:ascii="Open Sans" w:hAnsi="Open Sans" w:cs="Open Sans"/>
          <w:sz w:val="21"/>
          <w:szCs w:val="21"/>
        </w:rPr>
        <w:t>S</w:t>
      </w:r>
      <w:r w:rsidR="00EA3A49" w:rsidRPr="00B173DA">
        <w:rPr>
          <w:rFonts w:ascii="Open Sans" w:hAnsi="Open Sans" w:cs="Open Sans"/>
          <w:sz w:val="21"/>
          <w:szCs w:val="21"/>
        </w:rPr>
        <w:t xml:space="preserve">ome families (including children) have trust issues with social work, whereas they may be more likely view a differently disciplined practitioner as independent. A child welfare report is a useful procedural tool to assist in ensuring effective participation. There is a risk that particularly vulnerable people’s voices could be lost or diminished in the process, potentially impairing their ability to fully and effectively participate. </w:t>
      </w:r>
    </w:p>
    <w:p w14:paraId="7DD618D8" w14:textId="664E7319" w:rsidR="00EA3A49" w:rsidRDefault="00B173DA" w:rsidP="00B173DA">
      <w:pPr>
        <w:pStyle w:val="xmsolistparagraph"/>
        <w:numPr>
          <w:ilvl w:val="0"/>
          <w:numId w:val="23"/>
        </w:numPr>
        <w:shd w:val="clear" w:color="auto" w:fill="FFFFFF"/>
        <w:spacing w:before="0" w:beforeAutospacing="0" w:after="0" w:afterAutospacing="0"/>
        <w:rPr>
          <w:rFonts w:ascii="Open Sans" w:hAnsi="Open Sans" w:cs="Open Sans"/>
          <w:sz w:val="21"/>
          <w:szCs w:val="21"/>
        </w:rPr>
      </w:pPr>
      <w:r>
        <w:rPr>
          <w:rFonts w:ascii="Open Sans" w:hAnsi="Open Sans" w:cs="Open Sans"/>
          <w:sz w:val="21"/>
          <w:szCs w:val="21"/>
        </w:rPr>
        <w:t>C</w:t>
      </w:r>
      <w:r w:rsidR="00EA3A49" w:rsidRPr="00B173DA">
        <w:rPr>
          <w:rFonts w:ascii="Open Sans" w:hAnsi="Open Sans" w:cs="Open Sans"/>
          <w:sz w:val="21"/>
          <w:szCs w:val="21"/>
        </w:rPr>
        <w:t xml:space="preserve">hild welfare reports belong to the court and occur in a largely confidential process. Social work reports are largely called for where there is existing social work involvement, but this would change that. What happens if a social worker does a report which raises a welfare issue about a child not previously known to social work? In normal circumstances, it is for the sheriff to decide whether to make a referral to SCRA. Can a social worker use that information themselves and take steps independently of the case? What are the data protection implications of them using the sensitive personal data of individuals in that way when it was given to them in a specific context? </w:t>
      </w:r>
    </w:p>
    <w:p w14:paraId="6AA26204" w14:textId="7EBCEAF7" w:rsidR="008C7D72" w:rsidRPr="00B173DA" w:rsidRDefault="008C7D72" w:rsidP="00B173DA">
      <w:pPr>
        <w:pStyle w:val="xmsolistparagraph"/>
        <w:numPr>
          <w:ilvl w:val="0"/>
          <w:numId w:val="23"/>
        </w:numPr>
        <w:shd w:val="clear" w:color="auto" w:fill="FFFFFF"/>
        <w:spacing w:before="0" w:beforeAutospacing="0" w:after="0" w:afterAutospacing="0"/>
        <w:rPr>
          <w:rFonts w:ascii="Open Sans" w:hAnsi="Open Sans" w:cs="Open Sans"/>
          <w:sz w:val="21"/>
          <w:szCs w:val="21"/>
        </w:rPr>
      </w:pPr>
      <w:r>
        <w:rPr>
          <w:rFonts w:ascii="Open Sans" w:hAnsi="Open Sans" w:cs="Open Sans"/>
          <w:sz w:val="21"/>
          <w:szCs w:val="21"/>
        </w:rPr>
        <w:t>I</w:t>
      </w:r>
      <w:r w:rsidRPr="008C7D72">
        <w:rPr>
          <w:rFonts w:ascii="Open Sans" w:hAnsi="Open Sans" w:cs="Open Sans"/>
          <w:sz w:val="21"/>
          <w:szCs w:val="21"/>
        </w:rPr>
        <w:t>n a child abduction context</w:t>
      </w:r>
      <w:r>
        <w:rPr>
          <w:rFonts w:ascii="Open Sans" w:hAnsi="Open Sans" w:cs="Open Sans"/>
          <w:sz w:val="21"/>
          <w:szCs w:val="21"/>
        </w:rPr>
        <w:t>,</w:t>
      </w:r>
      <w:r w:rsidRPr="008C7D72">
        <w:rPr>
          <w:rFonts w:ascii="Open Sans" w:hAnsi="Open Sans" w:cs="Open Sans"/>
          <w:sz w:val="21"/>
          <w:szCs w:val="21"/>
        </w:rPr>
        <w:t xml:space="preserve"> where the return of a child is sought under the 1980 Hague convention, the views of children from the age of 5 upwards are routinely sought (and indeed the taking of such views is mandatory in European cases). The courts will make use of child welfare reporters to take those views (and sometimes child psychologists). In Scotland, Hague cases align with the </w:t>
      </w:r>
      <w:r w:rsidR="00751E22" w:rsidRPr="008C7D72">
        <w:rPr>
          <w:rFonts w:ascii="Open Sans" w:hAnsi="Open Sans" w:cs="Open Sans"/>
          <w:sz w:val="21"/>
          <w:szCs w:val="21"/>
        </w:rPr>
        <w:t>6-week</w:t>
      </w:r>
      <w:r w:rsidRPr="008C7D72">
        <w:rPr>
          <w:rFonts w:ascii="Open Sans" w:hAnsi="Open Sans" w:cs="Open Sans"/>
          <w:sz w:val="21"/>
          <w:szCs w:val="21"/>
        </w:rPr>
        <w:t xml:space="preserve"> time limit the convention notes for the case to be concluded. Therefore</w:t>
      </w:r>
      <w:r w:rsidR="00751E22">
        <w:rPr>
          <w:rFonts w:ascii="Open Sans" w:hAnsi="Open Sans" w:cs="Open Sans"/>
          <w:sz w:val="21"/>
          <w:szCs w:val="21"/>
        </w:rPr>
        <w:t>,</w:t>
      </w:r>
      <w:r w:rsidRPr="008C7D72">
        <w:rPr>
          <w:rFonts w:ascii="Open Sans" w:hAnsi="Open Sans" w:cs="Open Sans"/>
          <w:sz w:val="21"/>
          <w:szCs w:val="21"/>
        </w:rPr>
        <w:t xml:space="preserve"> child welfare reporters are usually given a very tight timescale to produce the report. While the child welfare </w:t>
      </w:r>
      <w:r w:rsidR="00751E22" w:rsidRPr="008C7D72">
        <w:rPr>
          <w:rFonts w:ascii="Open Sans" w:hAnsi="Open Sans" w:cs="Open Sans"/>
          <w:sz w:val="21"/>
          <w:szCs w:val="21"/>
        </w:rPr>
        <w:t>reporters’</w:t>
      </w:r>
      <w:r w:rsidRPr="008C7D72">
        <w:rPr>
          <w:rFonts w:ascii="Open Sans" w:hAnsi="Open Sans" w:cs="Open Sans"/>
          <w:sz w:val="21"/>
          <w:szCs w:val="21"/>
        </w:rPr>
        <w:t xml:space="preserve"> remit is specified by the court, such reports are very different from s. 11 cases. They deal mainly with the question of whether a child consents to the return to their country of habitual residence to have the court their decide their welfare. </w:t>
      </w:r>
      <w:r>
        <w:rPr>
          <w:rFonts w:ascii="Open Sans" w:hAnsi="Open Sans" w:cs="Open Sans"/>
          <w:sz w:val="21"/>
          <w:szCs w:val="21"/>
        </w:rPr>
        <w:t>We</w:t>
      </w:r>
      <w:r w:rsidRPr="008C7D72">
        <w:rPr>
          <w:rFonts w:ascii="Open Sans" w:hAnsi="Open Sans" w:cs="Open Sans"/>
          <w:sz w:val="21"/>
          <w:szCs w:val="21"/>
        </w:rPr>
        <w:t xml:space="preserve"> </w:t>
      </w:r>
      <w:r>
        <w:rPr>
          <w:rFonts w:ascii="Open Sans" w:hAnsi="Open Sans" w:cs="Open Sans"/>
          <w:sz w:val="21"/>
          <w:szCs w:val="21"/>
        </w:rPr>
        <w:t>would be concerned that</w:t>
      </w:r>
      <w:r w:rsidRPr="008C7D72">
        <w:rPr>
          <w:rFonts w:ascii="Open Sans" w:hAnsi="Open Sans" w:cs="Open Sans"/>
          <w:sz w:val="21"/>
          <w:szCs w:val="21"/>
        </w:rPr>
        <w:t xml:space="preserve"> social work department</w:t>
      </w:r>
      <w:r>
        <w:rPr>
          <w:rFonts w:ascii="Open Sans" w:hAnsi="Open Sans" w:cs="Open Sans"/>
          <w:sz w:val="21"/>
          <w:szCs w:val="21"/>
        </w:rPr>
        <w:t>s</w:t>
      </w:r>
      <w:r w:rsidRPr="008C7D72">
        <w:rPr>
          <w:rFonts w:ascii="Open Sans" w:hAnsi="Open Sans" w:cs="Open Sans"/>
          <w:sz w:val="21"/>
          <w:szCs w:val="21"/>
        </w:rPr>
        <w:t xml:space="preserve"> would have the expertise or resource to solely deal with child welfare reports in this context.</w:t>
      </w:r>
    </w:p>
    <w:p w14:paraId="34A9D03A" w14:textId="77777777" w:rsidR="00D25641" w:rsidRPr="00B173DA" w:rsidRDefault="00D25641" w:rsidP="00D25641">
      <w:pPr>
        <w:rPr>
          <w:rFonts w:ascii="Open Sans" w:hAnsi="Open Sans" w:cs="Open Sans"/>
          <w:sz w:val="21"/>
          <w:szCs w:val="21"/>
        </w:rPr>
      </w:pPr>
    </w:p>
    <w:p w14:paraId="448517E5" w14:textId="55A003C0" w:rsidR="00594579" w:rsidRPr="00EA3A49" w:rsidRDefault="00594579" w:rsidP="00594579">
      <w:pPr>
        <w:pStyle w:val="Heading"/>
        <w:rPr>
          <w:lang w:val="en-US"/>
        </w:rPr>
      </w:pPr>
      <w:r w:rsidRPr="00EA3A49">
        <w:rPr>
          <w:lang w:val="en-US"/>
        </w:rPr>
        <w:t xml:space="preserve">Regulation of child contact </w:t>
      </w:r>
      <w:r w:rsidR="00D81922">
        <w:rPr>
          <w:lang w:val="en-US"/>
        </w:rPr>
        <w:t>services</w:t>
      </w:r>
    </w:p>
    <w:p w14:paraId="40F27D57" w14:textId="50FA9AE8" w:rsidR="00594579" w:rsidRPr="00B173DA" w:rsidRDefault="00594579" w:rsidP="00594579">
      <w:pPr>
        <w:pStyle w:val="Body"/>
      </w:pPr>
      <w:r w:rsidRPr="00B173DA">
        <w:t xml:space="preserve">We support the regulation of child contact </w:t>
      </w:r>
      <w:r w:rsidR="00D81922">
        <w:t>services</w:t>
      </w:r>
      <w:r w:rsidRPr="00B173DA">
        <w:t xml:space="preserve">, as these centres are regularly required to handle challenging situations and work with vulnerable children. The details for the standards for regulation will be established by regulations, and it will be important to ensure that they are sufficiently robust to protect the welfare of the children involved, while also flexible enough to meet the individual needs of families and the services available in local areas across Scotland. Adequate funding will be required, to ensure that contact centres are safe, clean and </w:t>
      </w:r>
      <w:r w:rsidRPr="00B173DA">
        <w:lastRenderedPageBreak/>
        <w:t xml:space="preserve">properly operated, though there also needs to be recognition of the limited resources available and the reliance on volunteers rather than paid employees at these centres. </w:t>
      </w:r>
    </w:p>
    <w:p w14:paraId="7929E5A5" w14:textId="44EA2952" w:rsidR="00505A3C" w:rsidRPr="00B173DA" w:rsidRDefault="00D25641" w:rsidP="00D25641">
      <w:pPr>
        <w:rPr>
          <w:rFonts w:ascii="Open Sans" w:hAnsi="Open Sans" w:cs="Open Sans"/>
          <w:sz w:val="21"/>
          <w:szCs w:val="21"/>
        </w:rPr>
      </w:pPr>
      <w:r w:rsidRPr="00B173DA">
        <w:rPr>
          <w:rFonts w:ascii="Open Sans" w:hAnsi="Open Sans" w:cs="Open Sans"/>
          <w:sz w:val="21"/>
          <w:szCs w:val="21"/>
        </w:rPr>
        <w:t xml:space="preserve">We envisaged that all child contact </w:t>
      </w:r>
      <w:r w:rsidR="00D81922">
        <w:rPr>
          <w:rFonts w:ascii="Open Sans" w:hAnsi="Open Sans" w:cs="Open Sans"/>
          <w:sz w:val="21"/>
          <w:szCs w:val="21"/>
        </w:rPr>
        <w:t>services</w:t>
      </w:r>
      <w:r w:rsidRPr="00B173DA">
        <w:rPr>
          <w:rFonts w:ascii="Open Sans" w:hAnsi="Open Sans" w:cs="Open Sans"/>
          <w:sz w:val="21"/>
          <w:szCs w:val="21"/>
        </w:rPr>
        <w:t xml:space="preserve"> would be regulated, though the provisions of the Bill entail that there could remain unregulated provision. The Bill currently requires courts to refer to regulated centres, though does not include other referrals, such as from solicitors, social workers, GPs or other professionals within its scope. An amendment at stage 3</w:t>
      </w:r>
      <w:r w:rsidR="00E65C8A" w:rsidRPr="00B173DA">
        <w:rPr>
          <w:rStyle w:val="EndnoteReference"/>
          <w:rFonts w:ascii="Open Sans" w:hAnsi="Open Sans" w:cs="Open Sans"/>
          <w:sz w:val="21"/>
          <w:szCs w:val="21"/>
        </w:rPr>
        <w:endnoteReference w:id="2"/>
      </w:r>
      <w:r w:rsidRPr="00B173DA">
        <w:rPr>
          <w:rFonts w:ascii="Open Sans" w:hAnsi="Open Sans" w:cs="Open Sans"/>
          <w:sz w:val="21"/>
          <w:szCs w:val="21"/>
        </w:rPr>
        <w:t xml:space="preserve"> </w:t>
      </w:r>
      <w:r w:rsidR="00E65C8A" w:rsidRPr="00B173DA">
        <w:rPr>
          <w:rFonts w:ascii="Open Sans" w:hAnsi="Open Sans" w:cs="Open Sans"/>
          <w:sz w:val="21"/>
          <w:szCs w:val="21"/>
        </w:rPr>
        <w:t>would prohibit</w:t>
      </w:r>
      <w:r w:rsidRPr="00B173DA">
        <w:rPr>
          <w:rFonts w:ascii="Open Sans" w:hAnsi="Open Sans" w:cs="Open Sans"/>
          <w:sz w:val="21"/>
          <w:szCs w:val="21"/>
        </w:rPr>
        <w:t xml:space="preserve"> solicitors </w:t>
      </w:r>
      <w:r w:rsidR="00E65C8A" w:rsidRPr="00B173DA">
        <w:rPr>
          <w:rFonts w:ascii="Open Sans" w:hAnsi="Open Sans" w:cs="Open Sans"/>
          <w:sz w:val="21"/>
          <w:szCs w:val="21"/>
        </w:rPr>
        <w:t>(or others on their behalf) from making referrals to unregulated</w:t>
      </w:r>
      <w:r w:rsidRPr="00B173DA">
        <w:rPr>
          <w:rFonts w:ascii="Open Sans" w:hAnsi="Open Sans" w:cs="Open Sans"/>
          <w:sz w:val="21"/>
          <w:szCs w:val="21"/>
        </w:rPr>
        <w:t xml:space="preserve"> child contact </w:t>
      </w:r>
      <w:r w:rsidR="00D81922">
        <w:rPr>
          <w:rFonts w:ascii="Open Sans" w:hAnsi="Open Sans" w:cs="Open Sans"/>
          <w:sz w:val="21"/>
          <w:szCs w:val="21"/>
        </w:rPr>
        <w:t xml:space="preserve">services </w:t>
      </w:r>
      <w:r w:rsidRPr="00B173DA">
        <w:rPr>
          <w:rFonts w:ascii="Open Sans" w:hAnsi="Open Sans" w:cs="Open Sans"/>
          <w:sz w:val="21"/>
          <w:szCs w:val="21"/>
        </w:rPr>
        <w:t>and to make a failure to</w:t>
      </w:r>
      <w:r w:rsidR="00900D80" w:rsidRPr="00B173DA">
        <w:rPr>
          <w:rFonts w:ascii="Open Sans" w:hAnsi="Open Sans" w:cs="Open Sans"/>
          <w:sz w:val="21"/>
          <w:szCs w:val="21"/>
        </w:rPr>
        <w:t xml:space="preserve"> comply</w:t>
      </w:r>
      <w:r w:rsidRPr="00B173DA">
        <w:rPr>
          <w:rFonts w:ascii="Open Sans" w:hAnsi="Open Sans" w:cs="Open Sans"/>
          <w:sz w:val="21"/>
          <w:szCs w:val="21"/>
        </w:rPr>
        <w:t xml:space="preserve"> potentially a matter of professional misconduc</w:t>
      </w:r>
      <w:r w:rsidR="00E65C8A" w:rsidRPr="00B173DA">
        <w:rPr>
          <w:rFonts w:ascii="Open Sans" w:hAnsi="Open Sans" w:cs="Open Sans"/>
          <w:sz w:val="21"/>
          <w:szCs w:val="21"/>
        </w:rPr>
        <w:t>t.</w:t>
      </w:r>
    </w:p>
    <w:p w14:paraId="705B9CB2" w14:textId="5429E47C" w:rsidR="009C040D" w:rsidRPr="00B173DA" w:rsidRDefault="009C040D" w:rsidP="00D25641">
      <w:pPr>
        <w:rPr>
          <w:rFonts w:ascii="Open Sans" w:hAnsi="Open Sans" w:cs="Open Sans"/>
          <w:sz w:val="21"/>
          <w:szCs w:val="21"/>
        </w:rPr>
      </w:pPr>
    </w:p>
    <w:p w14:paraId="3782509F" w14:textId="59824A33" w:rsidR="00900D80" w:rsidRPr="00B173DA" w:rsidRDefault="009C040D" w:rsidP="00D25641">
      <w:pPr>
        <w:rPr>
          <w:rFonts w:ascii="Open Sans" w:hAnsi="Open Sans" w:cs="Open Sans"/>
          <w:sz w:val="21"/>
          <w:szCs w:val="21"/>
        </w:rPr>
      </w:pPr>
      <w:r w:rsidRPr="00B173DA">
        <w:rPr>
          <w:rFonts w:ascii="Open Sans" w:hAnsi="Open Sans" w:cs="Open Sans"/>
          <w:sz w:val="21"/>
          <w:szCs w:val="21"/>
        </w:rPr>
        <w:t>We appreciate the concerns addressed by this amendment, to ensure that child contact takes place in regulated spaces. The amendment does not include, however, other sources of professional referral, risking</w:t>
      </w:r>
      <w:r w:rsidR="00644BF2" w:rsidRPr="00B173DA">
        <w:rPr>
          <w:rFonts w:ascii="Open Sans" w:hAnsi="Open Sans" w:cs="Open Sans"/>
          <w:sz w:val="21"/>
          <w:szCs w:val="21"/>
        </w:rPr>
        <w:t xml:space="preserve"> referrals being made to unregulated centres following the implementation and commencement of the Bill. We do not support the proposed amendment in its provision that “failure [not to refer to a regulated child contact </w:t>
      </w:r>
      <w:r w:rsidR="00D81922">
        <w:rPr>
          <w:rFonts w:ascii="Open Sans" w:hAnsi="Open Sans" w:cs="Open Sans"/>
          <w:sz w:val="21"/>
          <w:szCs w:val="21"/>
        </w:rPr>
        <w:t>service</w:t>
      </w:r>
      <w:r w:rsidR="00644BF2" w:rsidRPr="00B173DA">
        <w:rPr>
          <w:rFonts w:ascii="Open Sans" w:hAnsi="Open Sans" w:cs="Open Sans"/>
          <w:sz w:val="21"/>
          <w:szCs w:val="21"/>
        </w:rPr>
        <w:t xml:space="preserve">] may be treated as professional misconduct or unsatisfactory professional conduct”. </w:t>
      </w:r>
    </w:p>
    <w:p w14:paraId="6331ED2A" w14:textId="77777777" w:rsidR="009C040D" w:rsidRPr="00B173DA" w:rsidRDefault="009C040D" w:rsidP="00D25641">
      <w:pPr>
        <w:rPr>
          <w:rFonts w:ascii="Open Sans" w:hAnsi="Open Sans" w:cs="Open Sans"/>
          <w:sz w:val="21"/>
          <w:szCs w:val="21"/>
        </w:rPr>
      </w:pPr>
    </w:p>
    <w:p w14:paraId="1CC48B76" w14:textId="1025BF91" w:rsidR="009C040D" w:rsidRPr="00B173DA" w:rsidRDefault="00EA3A49" w:rsidP="009C040D">
      <w:pPr>
        <w:rPr>
          <w:rFonts w:ascii="Open Sans" w:hAnsi="Open Sans" w:cs="Open Sans"/>
          <w:sz w:val="21"/>
          <w:szCs w:val="21"/>
        </w:rPr>
      </w:pPr>
      <w:r w:rsidRPr="00B173DA">
        <w:rPr>
          <w:rFonts w:ascii="Open Sans" w:hAnsi="Open Sans" w:cs="Open Sans"/>
          <w:sz w:val="21"/>
          <w:szCs w:val="21"/>
        </w:rPr>
        <w:t>We have no issue with amendment 20</w:t>
      </w:r>
      <w:r w:rsidR="00D81922">
        <w:rPr>
          <w:rFonts w:ascii="Open Sans" w:hAnsi="Open Sans" w:cs="Open Sans"/>
          <w:sz w:val="21"/>
          <w:szCs w:val="21"/>
        </w:rPr>
        <w:t xml:space="preserve">, </w:t>
      </w:r>
      <w:r w:rsidRPr="00B173DA">
        <w:rPr>
          <w:rFonts w:ascii="Open Sans" w:hAnsi="Open Sans" w:cs="Open Sans"/>
          <w:sz w:val="21"/>
          <w:szCs w:val="21"/>
        </w:rPr>
        <w:t xml:space="preserve">which inserts new section 101CA (1) which provides that solicitors </w:t>
      </w:r>
      <w:r w:rsidR="00751E22" w:rsidRPr="00B173DA">
        <w:rPr>
          <w:rFonts w:ascii="Open Sans" w:hAnsi="Open Sans" w:cs="Open Sans"/>
          <w:sz w:val="21"/>
          <w:szCs w:val="21"/>
        </w:rPr>
        <w:t>should be</w:t>
      </w:r>
      <w:r w:rsidRPr="00B173DA">
        <w:rPr>
          <w:rFonts w:ascii="Open Sans" w:hAnsi="Open Sans" w:cs="Open Sans"/>
          <w:sz w:val="21"/>
          <w:szCs w:val="21"/>
        </w:rPr>
        <w:t xml:space="preserve"> statutorily bound to refer children to regulated contact services. However, we take the view that the provisions of 101CA(2) are unnecessary. </w:t>
      </w:r>
      <w:r w:rsidR="00644BF2" w:rsidRPr="00B173DA">
        <w:rPr>
          <w:rFonts w:ascii="Open Sans" w:hAnsi="Open Sans" w:cs="Open Sans"/>
          <w:sz w:val="21"/>
          <w:szCs w:val="21"/>
        </w:rPr>
        <w:t>A</w:t>
      </w:r>
      <w:r w:rsidR="009C040D" w:rsidRPr="00B173DA">
        <w:rPr>
          <w:rFonts w:ascii="Open Sans" w:hAnsi="Open Sans" w:cs="Open Sans"/>
          <w:sz w:val="21"/>
          <w:szCs w:val="21"/>
        </w:rPr>
        <w:t xml:space="preserve"> breach of a duty imposed upon a solicitor in any statute is subject to the underlying law which emanates from the Solicitors (Scotland) Act 1980</w:t>
      </w:r>
      <w:r w:rsidR="00644BF2" w:rsidRPr="00B173DA">
        <w:rPr>
          <w:rFonts w:ascii="Open Sans" w:hAnsi="Open Sans" w:cs="Open Sans"/>
          <w:sz w:val="21"/>
          <w:szCs w:val="21"/>
        </w:rPr>
        <w:t xml:space="preserve">. </w:t>
      </w:r>
      <w:r w:rsidR="009C040D" w:rsidRPr="00B173DA">
        <w:rPr>
          <w:rFonts w:ascii="Open Sans" w:hAnsi="Open Sans" w:cs="Open Sans"/>
          <w:sz w:val="21"/>
          <w:szCs w:val="21"/>
        </w:rPr>
        <w:t xml:space="preserve">Section 34 of the 1980 Act authorises the </w:t>
      </w:r>
      <w:r w:rsidR="00644BF2" w:rsidRPr="00B173DA">
        <w:rPr>
          <w:rFonts w:ascii="Open Sans" w:hAnsi="Open Sans" w:cs="Open Sans"/>
          <w:sz w:val="21"/>
          <w:szCs w:val="21"/>
        </w:rPr>
        <w:t xml:space="preserve">Law </w:t>
      </w:r>
      <w:r w:rsidR="009C040D" w:rsidRPr="00B173DA">
        <w:rPr>
          <w:rFonts w:ascii="Open Sans" w:hAnsi="Open Sans" w:cs="Open Sans"/>
          <w:sz w:val="21"/>
          <w:szCs w:val="21"/>
        </w:rPr>
        <w:t xml:space="preserve">Society to make rules for regulating in respect of any matter the professional practice, conduct and discipline of solicitors. In terms of Section 21 of the Interpretation Act 1977 </w:t>
      </w:r>
      <w:r w:rsidR="009C040D" w:rsidRPr="00B173DA">
        <w:rPr>
          <w:rFonts w:ascii="Open Sans" w:hAnsi="Open Sans" w:cs="Open Sans"/>
          <w:sz w:val="21"/>
          <w:szCs w:val="21"/>
          <w:lang w:val="en"/>
        </w:rPr>
        <w:t>“subordinate legislation” means ‘…rules…made…under any Act’</w:t>
      </w:r>
      <w:r w:rsidR="00644BF2" w:rsidRPr="00B173DA">
        <w:rPr>
          <w:rStyle w:val="EndnoteReference"/>
          <w:rFonts w:ascii="Open Sans" w:hAnsi="Open Sans" w:cs="Open Sans"/>
          <w:sz w:val="21"/>
          <w:szCs w:val="21"/>
          <w:lang w:val="en"/>
        </w:rPr>
        <w:endnoteReference w:id="3"/>
      </w:r>
      <w:r w:rsidR="00644BF2" w:rsidRPr="00B173DA">
        <w:rPr>
          <w:rFonts w:ascii="Open Sans" w:hAnsi="Open Sans" w:cs="Open Sans"/>
          <w:sz w:val="21"/>
          <w:szCs w:val="21"/>
          <w:lang w:val="en"/>
        </w:rPr>
        <w:t xml:space="preserve">. </w:t>
      </w:r>
      <w:r w:rsidR="009C040D" w:rsidRPr="00B173DA">
        <w:rPr>
          <w:rFonts w:ascii="Open Sans" w:hAnsi="Open Sans" w:cs="Open Sans"/>
          <w:sz w:val="21"/>
          <w:szCs w:val="21"/>
        </w:rPr>
        <w:t> Section 34 (4ZA) of the 1980 Act provides that if any solicitor fails to comply with any rule made under section 34 that failure may be treated as professional misconduct or unsatisfactory professional conduct.</w:t>
      </w:r>
      <w:r w:rsidR="00644BF2" w:rsidRPr="00B173DA">
        <w:rPr>
          <w:rFonts w:ascii="Open Sans" w:hAnsi="Open Sans" w:cs="Open Sans"/>
          <w:sz w:val="21"/>
          <w:szCs w:val="21"/>
        </w:rPr>
        <w:t xml:space="preserve"> A</w:t>
      </w:r>
      <w:r w:rsidR="009C040D" w:rsidRPr="00B173DA">
        <w:rPr>
          <w:rFonts w:ascii="Open Sans" w:hAnsi="Open Sans" w:cs="Open Sans"/>
          <w:sz w:val="21"/>
          <w:szCs w:val="21"/>
        </w:rPr>
        <w:t>ccordingly</w:t>
      </w:r>
      <w:r w:rsidR="001D5EAE" w:rsidRPr="00B173DA">
        <w:rPr>
          <w:rFonts w:ascii="Open Sans" w:hAnsi="Open Sans" w:cs="Open Sans"/>
          <w:sz w:val="21"/>
          <w:szCs w:val="21"/>
        </w:rPr>
        <w:t>,</w:t>
      </w:r>
      <w:r w:rsidR="009C040D" w:rsidRPr="00B173DA">
        <w:rPr>
          <w:rFonts w:ascii="Open Sans" w:hAnsi="Open Sans" w:cs="Open Sans"/>
          <w:sz w:val="21"/>
          <w:szCs w:val="21"/>
        </w:rPr>
        <w:t xml:space="preserve"> the rules under which a solicitor practices are subordinate legislation in the same category as Orders in Council, subordinate orders or other regulations made under statutory authority.</w:t>
      </w:r>
    </w:p>
    <w:p w14:paraId="7356C33E" w14:textId="628D0ADF" w:rsidR="00644BF2" w:rsidRPr="00B173DA" w:rsidRDefault="00644BF2" w:rsidP="009C040D">
      <w:pPr>
        <w:rPr>
          <w:rFonts w:ascii="Open Sans" w:hAnsi="Open Sans" w:cs="Open Sans"/>
          <w:sz w:val="21"/>
          <w:szCs w:val="21"/>
        </w:rPr>
      </w:pPr>
    </w:p>
    <w:p w14:paraId="57E6F5D6" w14:textId="7AB2386F" w:rsidR="00644BF2" w:rsidRPr="00B173DA" w:rsidRDefault="00644BF2" w:rsidP="009C040D">
      <w:pPr>
        <w:rPr>
          <w:rFonts w:ascii="Open Sans" w:hAnsi="Open Sans" w:cs="Open Sans"/>
          <w:sz w:val="21"/>
          <w:szCs w:val="21"/>
        </w:rPr>
      </w:pPr>
      <w:r w:rsidRPr="00B173DA">
        <w:rPr>
          <w:rFonts w:ascii="Open Sans" w:hAnsi="Open Sans" w:cs="Open Sans"/>
          <w:sz w:val="21"/>
          <w:szCs w:val="21"/>
        </w:rPr>
        <w:t xml:space="preserve">The practice rules for solicitors are clear that a solicitor’s fundamental duty to act in the best interests of clients is subordinate to the solicitor’s duty to comply with the law. </w:t>
      </w:r>
      <w:r w:rsidR="008273E8" w:rsidRPr="00B173DA">
        <w:rPr>
          <w:rFonts w:ascii="Open Sans" w:hAnsi="Open Sans" w:cs="Open Sans"/>
          <w:sz w:val="21"/>
          <w:szCs w:val="21"/>
        </w:rPr>
        <w:t>The Law Society’s Practice Rules, B1: Standards of Conduct, state</w:t>
      </w:r>
      <w:r w:rsidR="008273E8" w:rsidRPr="00B173DA">
        <w:rPr>
          <w:rStyle w:val="EndnoteReference"/>
          <w:rFonts w:ascii="Open Sans" w:hAnsi="Open Sans" w:cs="Open Sans"/>
          <w:sz w:val="21"/>
          <w:szCs w:val="21"/>
        </w:rPr>
        <w:endnoteReference w:id="4"/>
      </w:r>
      <w:r w:rsidR="008273E8" w:rsidRPr="00B173DA">
        <w:rPr>
          <w:rFonts w:ascii="Open Sans" w:hAnsi="Open Sans" w:cs="Open Sans"/>
          <w:sz w:val="21"/>
          <w:szCs w:val="21"/>
        </w:rPr>
        <w:t xml:space="preserve">: </w:t>
      </w:r>
    </w:p>
    <w:p w14:paraId="5A8D90C9" w14:textId="03F8565A" w:rsidR="008273E8" w:rsidRPr="00B173DA" w:rsidRDefault="008273E8" w:rsidP="009C040D">
      <w:pPr>
        <w:rPr>
          <w:rFonts w:ascii="Open Sans" w:hAnsi="Open Sans" w:cs="Open Sans"/>
          <w:sz w:val="21"/>
          <w:szCs w:val="21"/>
        </w:rPr>
      </w:pPr>
    </w:p>
    <w:p w14:paraId="029C4DAD" w14:textId="0025D2A7" w:rsidR="008273E8" w:rsidRPr="00B173DA" w:rsidRDefault="008273E8" w:rsidP="00763112">
      <w:pPr>
        <w:ind w:left="720"/>
        <w:rPr>
          <w:rFonts w:ascii="Open Sans" w:hAnsi="Open Sans" w:cs="Open Sans"/>
          <w:sz w:val="21"/>
          <w:szCs w:val="21"/>
        </w:rPr>
      </w:pPr>
      <w:r w:rsidRPr="00B173DA">
        <w:rPr>
          <w:rFonts w:ascii="Open Sans" w:hAnsi="Open Sans" w:cs="Open Sans"/>
          <w:sz w:val="21"/>
          <w:szCs w:val="21"/>
        </w:rPr>
        <w:t>‘1.4.1 You must act in the best interests of your clients subject to preserving your independence and complying with the law, these rules and the principles of good professional conduct.”</w:t>
      </w:r>
    </w:p>
    <w:p w14:paraId="1658AD25" w14:textId="77777777" w:rsidR="009C040D" w:rsidRPr="00B173DA" w:rsidRDefault="009C040D" w:rsidP="009C040D">
      <w:pPr>
        <w:rPr>
          <w:rFonts w:ascii="Open Sans" w:hAnsi="Open Sans" w:cs="Open Sans"/>
          <w:sz w:val="21"/>
          <w:szCs w:val="21"/>
        </w:rPr>
      </w:pPr>
    </w:p>
    <w:p w14:paraId="6ED8A9AD" w14:textId="14810A72" w:rsidR="00C269C5" w:rsidRDefault="009C040D" w:rsidP="00D25641">
      <w:pPr>
        <w:rPr>
          <w:rFonts w:ascii="Open Sans" w:hAnsi="Open Sans" w:cs="Open Sans"/>
          <w:sz w:val="21"/>
          <w:szCs w:val="21"/>
        </w:rPr>
      </w:pPr>
      <w:r w:rsidRPr="00B173DA">
        <w:rPr>
          <w:rFonts w:ascii="Open Sans" w:hAnsi="Open Sans" w:cs="Open Sans"/>
          <w:sz w:val="21"/>
          <w:szCs w:val="21"/>
        </w:rPr>
        <w:t>Breach of a statutory prohibition applicable to solicitors, of the nature of that proposed, would therefore constitute a breach of the Society’s practice rules. The 1980 Act already provides that such a breach may be treated as professional misconduct or unsatisfactory professional conduct.  The proposed subsection is therefore unnecessary and inappropriate repetition of a provision already contained in the legislation which governs the regulation of solicitors.</w:t>
      </w:r>
    </w:p>
    <w:p w14:paraId="357A61AD" w14:textId="0A431C42" w:rsidR="008C7D72" w:rsidRDefault="008C7D72" w:rsidP="00D25641">
      <w:pPr>
        <w:rPr>
          <w:rFonts w:ascii="Open Sans" w:hAnsi="Open Sans" w:cs="Open Sans"/>
          <w:sz w:val="21"/>
          <w:szCs w:val="21"/>
        </w:rPr>
      </w:pPr>
    </w:p>
    <w:p w14:paraId="4D561113" w14:textId="6E5FA51E" w:rsidR="008C7D72" w:rsidRPr="00EA3A49" w:rsidRDefault="008C7D72" w:rsidP="008C7D72">
      <w:pPr>
        <w:pStyle w:val="Heading"/>
        <w:rPr>
          <w:lang w:val="en-US"/>
        </w:rPr>
      </w:pPr>
      <w:r>
        <w:rPr>
          <w:lang w:val="en-US"/>
        </w:rPr>
        <w:t>Welfare or best interests</w:t>
      </w:r>
    </w:p>
    <w:p w14:paraId="2DD670CE" w14:textId="372FA8EB" w:rsidR="00870F92" w:rsidRPr="00870F92" w:rsidRDefault="00870F92" w:rsidP="00870F92">
      <w:pPr>
        <w:rPr>
          <w:rFonts w:ascii="Open Sans" w:hAnsi="Open Sans" w:cs="Open Sans"/>
          <w:sz w:val="21"/>
          <w:szCs w:val="21"/>
          <w:lang w:val="en-US"/>
        </w:rPr>
      </w:pPr>
      <w:r w:rsidRPr="00870F92">
        <w:rPr>
          <w:rFonts w:ascii="Open Sans" w:hAnsi="Open Sans" w:cs="Open Sans"/>
          <w:sz w:val="21"/>
          <w:szCs w:val="21"/>
          <w:lang w:val="en-US"/>
        </w:rPr>
        <w:t>It is proposed to amend the Bill to so that section 11 refers to the “best interests” of the child concerned rather than the “welfare” of the child</w:t>
      </w:r>
      <w:r w:rsidRPr="00870F92">
        <w:rPr>
          <w:rStyle w:val="EndnoteReference"/>
          <w:rFonts w:ascii="Open Sans" w:hAnsi="Open Sans" w:cs="Open Sans"/>
          <w:sz w:val="21"/>
          <w:szCs w:val="21"/>
          <w:lang w:val="en-US"/>
        </w:rPr>
        <w:endnoteReference w:id="5"/>
      </w:r>
      <w:r w:rsidRPr="00870F92">
        <w:rPr>
          <w:rFonts w:ascii="Open Sans" w:hAnsi="Open Sans" w:cs="Open Sans"/>
          <w:sz w:val="21"/>
          <w:szCs w:val="21"/>
          <w:lang w:val="en-US"/>
        </w:rPr>
        <w:t xml:space="preserve">. This is a change of significant magnitude and we believe that further consideration and consultation required before contemplating such a change. As such, we do not support the amendment and for several reasons: </w:t>
      </w:r>
    </w:p>
    <w:p w14:paraId="108E2C8E" w14:textId="5B6E0930" w:rsidR="00870F92" w:rsidRPr="00870F92" w:rsidRDefault="00870F92" w:rsidP="00870F92">
      <w:pPr>
        <w:pStyle w:val="ListParagraph"/>
        <w:numPr>
          <w:ilvl w:val="0"/>
          <w:numId w:val="25"/>
        </w:numPr>
        <w:rPr>
          <w:rFonts w:ascii="Open Sans" w:hAnsi="Open Sans" w:cs="Open Sans"/>
          <w:sz w:val="21"/>
          <w:szCs w:val="21"/>
          <w:lang w:val="en-US"/>
        </w:rPr>
      </w:pPr>
      <w:r w:rsidRPr="00870F92">
        <w:rPr>
          <w:rFonts w:ascii="Open Sans" w:hAnsi="Open Sans" w:cs="Open Sans"/>
          <w:color w:val="000000"/>
          <w:sz w:val="21"/>
          <w:szCs w:val="21"/>
          <w:shd w:val="clear" w:color="auto" w:fill="FFFFFF"/>
        </w:rPr>
        <w:t xml:space="preserve">The “welfare of the child” is a familiar concept in Scots law that is well-understood and on which there is a substantial body of case law. It </w:t>
      </w:r>
      <w:r w:rsidR="00260F63">
        <w:rPr>
          <w:rFonts w:ascii="Open Sans" w:hAnsi="Open Sans" w:cs="Open Sans"/>
          <w:color w:val="000000"/>
          <w:sz w:val="21"/>
          <w:szCs w:val="21"/>
          <w:shd w:val="clear" w:color="auto" w:fill="FFFFFF"/>
        </w:rPr>
        <w:t>may be broadly equivalent to</w:t>
      </w:r>
      <w:r w:rsidRPr="00870F92">
        <w:rPr>
          <w:rFonts w:ascii="Open Sans" w:hAnsi="Open Sans" w:cs="Open Sans"/>
          <w:color w:val="000000"/>
          <w:sz w:val="21"/>
          <w:szCs w:val="21"/>
          <w:shd w:val="clear" w:color="auto" w:fill="FFFFFF"/>
        </w:rPr>
        <w:t xml:space="preserve"> “best interests of the child”, </w:t>
      </w:r>
      <w:r w:rsidR="00260F63">
        <w:rPr>
          <w:rFonts w:ascii="Open Sans" w:hAnsi="Open Sans" w:cs="Open Sans"/>
          <w:color w:val="000000"/>
          <w:sz w:val="21"/>
          <w:szCs w:val="21"/>
          <w:shd w:val="clear" w:color="auto" w:fill="FFFFFF"/>
        </w:rPr>
        <w:t xml:space="preserve">However, </w:t>
      </w:r>
      <w:r w:rsidRPr="00870F92">
        <w:rPr>
          <w:rFonts w:ascii="Open Sans" w:hAnsi="Open Sans" w:cs="Open Sans"/>
          <w:color w:val="000000"/>
          <w:sz w:val="21"/>
          <w:szCs w:val="21"/>
          <w:shd w:val="clear" w:color="auto" w:fill="FFFFFF"/>
        </w:rPr>
        <w:t xml:space="preserve"> the very fact that terminology has been changed would open the door to an argument that the test has, in </w:t>
      </w:r>
      <w:r w:rsidRPr="00870F92">
        <w:rPr>
          <w:rFonts w:ascii="Open Sans" w:hAnsi="Open Sans" w:cs="Open Sans"/>
          <w:color w:val="000000"/>
          <w:sz w:val="21"/>
          <w:szCs w:val="21"/>
          <w:shd w:val="clear" w:color="auto" w:fill="FFFFFF"/>
        </w:rPr>
        <w:lastRenderedPageBreak/>
        <w:t>fact, been altered. Given that the welfare of the child lies at the heart of so much decision-making about children in Scotland, ambiguity and the resulting uncertainty would be undesirable.</w:t>
      </w:r>
    </w:p>
    <w:p w14:paraId="6B2CF7E9" w14:textId="77777777" w:rsidR="00870F92" w:rsidRPr="00870F92" w:rsidRDefault="00870F92" w:rsidP="00870F92">
      <w:pPr>
        <w:pStyle w:val="ListParagraph"/>
        <w:numPr>
          <w:ilvl w:val="0"/>
          <w:numId w:val="24"/>
        </w:numPr>
        <w:tabs>
          <w:tab w:val="left" w:pos="720"/>
          <w:tab w:val="left" w:pos="1440"/>
          <w:tab w:val="left" w:pos="2160"/>
          <w:tab w:val="left" w:pos="2880"/>
          <w:tab w:val="right" w:pos="9907"/>
          <w:tab w:val="right" w:pos="10170"/>
        </w:tabs>
        <w:rPr>
          <w:rFonts w:ascii="Open Sans" w:hAnsi="Open Sans" w:cs="Open Sans"/>
          <w:sz w:val="21"/>
          <w:szCs w:val="21"/>
        </w:rPr>
      </w:pPr>
      <w:r w:rsidRPr="00870F92">
        <w:rPr>
          <w:rFonts w:ascii="Open Sans" w:hAnsi="Open Sans" w:cs="Open Sans"/>
          <w:color w:val="000000"/>
          <w:sz w:val="21"/>
          <w:szCs w:val="21"/>
          <w:shd w:val="clear" w:color="auto" w:fill="FFFFFF"/>
        </w:rPr>
        <w:t xml:space="preserve">Changing welfare to best interests in the 1995 Act would render it inconsistent with other key Scots child law statutes and, in particular, the Adoption and Children (Scotland) Act 2007 and the Children's Hearings (Scotland) Act 2011. It is my view that we should be seeking to achieve greater consistency and coherence in Scots child law, not less. The Children and Young People </w:t>
      </w:r>
      <w:r w:rsidRPr="00870F92">
        <w:rPr>
          <w:rFonts w:ascii="Open Sans" w:hAnsi="Open Sans" w:cs="Open Sans"/>
          <w:color w:val="000000"/>
          <w:sz w:val="21"/>
          <w:szCs w:val="21"/>
          <w:bdr w:val="none" w:sz="0" w:space="0" w:color="auto" w:frame="1"/>
          <w:shd w:val="clear" w:color="auto" w:fill="FFFFFF"/>
        </w:rPr>
        <w:t>(Scotland) Act 2014 introduced the term “well-being” into the legislative lexicon, creating the opportunity for debate over the extent, if any, to which it differs from welfare. To add another term would lead to further fragmentation and, again, greater ambiguity.</w:t>
      </w:r>
    </w:p>
    <w:p w14:paraId="1F370CD1" w14:textId="26993878" w:rsidR="00870F92" w:rsidRPr="00870F92" w:rsidRDefault="00870F92" w:rsidP="00870F92">
      <w:pPr>
        <w:pStyle w:val="ListParagraph"/>
        <w:numPr>
          <w:ilvl w:val="0"/>
          <w:numId w:val="24"/>
        </w:numPr>
        <w:tabs>
          <w:tab w:val="left" w:pos="720"/>
          <w:tab w:val="left" w:pos="1440"/>
          <w:tab w:val="left" w:pos="2160"/>
          <w:tab w:val="left" w:pos="2880"/>
          <w:tab w:val="right" w:pos="9907"/>
          <w:tab w:val="right" w:pos="10170"/>
        </w:tabs>
        <w:rPr>
          <w:rFonts w:ascii="Open Sans" w:hAnsi="Open Sans" w:cs="Open Sans"/>
          <w:sz w:val="21"/>
          <w:szCs w:val="21"/>
        </w:rPr>
      </w:pPr>
      <w:r w:rsidRPr="00870F92">
        <w:rPr>
          <w:rFonts w:ascii="Open Sans" w:hAnsi="Open Sans" w:cs="Open Sans"/>
          <w:sz w:val="21"/>
          <w:szCs w:val="21"/>
        </w:rPr>
        <w:t xml:space="preserve"> “Best interests” is, of course, the term used in the United Nations Convention on the Rights of the Child. Since the Scottish Government has committed to incorporating the Convention into Scots law as fully as is possible within the legislative competence of the Scottish Parliament, it might be argued that adopting the language of the Convention would be desirable. </w:t>
      </w:r>
      <w:r w:rsidR="00260F63">
        <w:rPr>
          <w:rFonts w:ascii="Open Sans" w:hAnsi="Open Sans" w:cs="Open Sans"/>
          <w:sz w:val="21"/>
          <w:szCs w:val="21"/>
        </w:rPr>
        <w:t xml:space="preserve">We believe, though, that </w:t>
      </w:r>
      <w:r w:rsidRPr="00870F92">
        <w:rPr>
          <w:rFonts w:ascii="Open Sans" w:hAnsi="Open Sans" w:cs="Open Sans"/>
          <w:sz w:val="21"/>
          <w:szCs w:val="21"/>
        </w:rPr>
        <w:t>any significant changes to the established language of Scots law should proceed on the basis of consistency across statutes and should be undertaken only after full consultation.</w:t>
      </w:r>
    </w:p>
    <w:p w14:paraId="6B588135" w14:textId="3D61B3C8" w:rsidR="00B173DA" w:rsidRDefault="00B173DA" w:rsidP="00D25641">
      <w:pPr>
        <w:rPr>
          <w:rFonts w:ascii="Open Sans" w:hAnsi="Open Sans" w:cs="Open Sans"/>
          <w:sz w:val="21"/>
          <w:szCs w:val="21"/>
        </w:rPr>
      </w:pPr>
    </w:p>
    <w:p w14:paraId="1A7B9A22" w14:textId="47660D2F" w:rsidR="00B173DA" w:rsidRPr="00EA3A49" w:rsidRDefault="00B173DA" w:rsidP="00B173DA">
      <w:pPr>
        <w:pStyle w:val="Heading"/>
        <w:rPr>
          <w:lang w:val="en-US"/>
        </w:rPr>
      </w:pPr>
      <w:r>
        <w:rPr>
          <w:lang w:val="en-US"/>
        </w:rPr>
        <w:t>Expression of views by the child</w:t>
      </w:r>
    </w:p>
    <w:p w14:paraId="77D3677D" w14:textId="2012D0E5" w:rsidR="00B173DA" w:rsidRPr="00ED66F7" w:rsidRDefault="00B173DA" w:rsidP="00B173DA">
      <w:pPr>
        <w:rPr>
          <w:rFonts w:ascii="Open Sans" w:hAnsi="Open Sans" w:cs="Open Sans"/>
          <w:sz w:val="21"/>
          <w:szCs w:val="21"/>
          <w:lang w:val="en-US"/>
        </w:rPr>
      </w:pPr>
      <w:r>
        <w:rPr>
          <w:rFonts w:ascii="Open Sans" w:hAnsi="Open Sans" w:cs="Open Sans"/>
          <w:sz w:val="21"/>
          <w:szCs w:val="21"/>
          <w:lang w:val="en-US"/>
        </w:rPr>
        <w:t>Several amendments</w:t>
      </w:r>
      <w:r>
        <w:rPr>
          <w:rStyle w:val="EndnoteReference"/>
          <w:rFonts w:ascii="Open Sans" w:hAnsi="Open Sans" w:cs="Open Sans"/>
          <w:sz w:val="21"/>
          <w:szCs w:val="21"/>
          <w:lang w:val="en-US"/>
        </w:rPr>
        <w:endnoteReference w:id="6"/>
      </w:r>
      <w:r>
        <w:rPr>
          <w:rFonts w:ascii="Open Sans" w:hAnsi="Open Sans" w:cs="Open Sans"/>
          <w:sz w:val="21"/>
          <w:szCs w:val="21"/>
          <w:lang w:val="en-US"/>
        </w:rPr>
        <w:t xml:space="preserve"> have been made to allo</w:t>
      </w:r>
      <w:r w:rsidR="00D81922">
        <w:rPr>
          <w:rFonts w:ascii="Open Sans" w:hAnsi="Open Sans" w:cs="Open Sans"/>
          <w:sz w:val="21"/>
          <w:szCs w:val="21"/>
          <w:lang w:val="en-US"/>
        </w:rPr>
        <w:t>w</w:t>
      </w:r>
      <w:r>
        <w:rPr>
          <w:rFonts w:ascii="Open Sans" w:hAnsi="Open Sans" w:cs="Open Sans"/>
          <w:sz w:val="21"/>
          <w:szCs w:val="21"/>
          <w:lang w:val="en-US"/>
        </w:rPr>
        <w:t xml:space="preserve"> the child to control the method by which his or her views are expressed, at least in the first instance, and we support these amendments. </w:t>
      </w:r>
      <w:r w:rsidR="00ED66F7">
        <w:rPr>
          <w:rFonts w:ascii="Open Sans" w:hAnsi="Open Sans" w:cs="Open Sans"/>
          <w:sz w:val="21"/>
          <w:szCs w:val="21"/>
          <w:lang w:val="en-US"/>
        </w:rPr>
        <w:t xml:space="preserve">There is some ambiguity in Article 12 of the UN Convention on the Rights of the Child and </w:t>
      </w:r>
      <w:r w:rsidRPr="00ED66F7">
        <w:rPr>
          <w:rFonts w:ascii="Open Sans" w:hAnsi="Open Sans" w:cs="Open Sans"/>
          <w:sz w:val="21"/>
          <w:szCs w:val="21"/>
        </w:rPr>
        <w:t xml:space="preserve">in </w:t>
      </w:r>
      <w:r w:rsidRPr="00ED66F7">
        <w:rPr>
          <w:rFonts w:ascii="Open Sans" w:hAnsi="Open Sans" w:cs="Open Sans"/>
          <w:i/>
          <w:sz w:val="21"/>
          <w:szCs w:val="21"/>
        </w:rPr>
        <w:t xml:space="preserve">General Comment No 12 </w:t>
      </w:r>
      <w:r w:rsidRPr="00ED66F7">
        <w:rPr>
          <w:rFonts w:ascii="Open Sans" w:hAnsi="Open Sans" w:cs="Open Sans"/>
          <w:sz w:val="21"/>
          <w:szCs w:val="21"/>
        </w:rPr>
        <w:t>over whether the choice of mechanism for expressing views to a court or tribunal vests in the child or the state</w:t>
      </w:r>
      <w:r w:rsidR="00ED66F7">
        <w:rPr>
          <w:rStyle w:val="EndnoteReference"/>
          <w:rFonts w:ascii="Open Sans" w:hAnsi="Open Sans" w:cs="Open Sans"/>
          <w:sz w:val="21"/>
          <w:szCs w:val="21"/>
        </w:rPr>
        <w:endnoteReference w:id="7"/>
      </w:r>
      <w:r w:rsidRPr="00ED66F7">
        <w:rPr>
          <w:rFonts w:ascii="Open Sans" w:hAnsi="Open Sans" w:cs="Open Sans"/>
          <w:sz w:val="21"/>
          <w:szCs w:val="21"/>
        </w:rPr>
        <w:t xml:space="preserve">. </w:t>
      </w:r>
      <w:r w:rsidR="00ED66F7">
        <w:rPr>
          <w:rFonts w:ascii="Open Sans" w:hAnsi="Open Sans" w:cs="Open Sans"/>
          <w:sz w:val="21"/>
          <w:szCs w:val="21"/>
        </w:rPr>
        <w:t xml:space="preserve">To </w:t>
      </w:r>
      <w:r w:rsidRPr="00ED66F7">
        <w:rPr>
          <w:rFonts w:ascii="Open Sans" w:hAnsi="Open Sans" w:cs="Open Sans"/>
          <w:sz w:val="21"/>
          <w:szCs w:val="21"/>
        </w:rPr>
        <w:t xml:space="preserve">empower the child in this way, it would certainly be unproblematic from a CRC point of view, even if </w:t>
      </w:r>
      <w:r w:rsidR="00ED66F7">
        <w:rPr>
          <w:rFonts w:ascii="Open Sans" w:hAnsi="Open Sans" w:cs="Open Sans"/>
          <w:sz w:val="21"/>
          <w:szCs w:val="21"/>
        </w:rPr>
        <w:t xml:space="preserve">this </w:t>
      </w:r>
      <w:r w:rsidRPr="00ED66F7">
        <w:rPr>
          <w:rFonts w:ascii="Open Sans" w:hAnsi="Open Sans" w:cs="Open Sans"/>
          <w:sz w:val="21"/>
          <w:szCs w:val="21"/>
        </w:rPr>
        <w:t>go</w:t>
      </w:r>
      <w:r w:rsidR="00ED66F7">
        <w:rPr>
          <w:rFonts w:ascii="Open Sans" w:hAnsi="Open Sans" w:cs="Open Sans"/>
          <w:sz w:val="21"/>
          <w:szCs w:val="21"/>
        </w:rPr>
        <w:t>es</w:t>
      </w:r>
      <w:r w:rsidRPr="00ED66F7">
        <w:rPr>
          <w:rFonts w:ascii="Open Sans" w:hAnsi="Open Sans" w:cs="Open Sans"/>
          <w:sz w:val="21"/>
          <w:szCs w:val="21"/>
        </w:rPr>
        <w:t xml:space="preserve"> further than required.  </w:t>
      </w:r>
    </w:p>
    <w:p w14:paraId="04361AC7" w14:textId="77777777" w:rsidR="00B173DA" w:rsidRPr="00ED66F7" w:rsidRDefault="00B173DA" w:rsidP="00B173DA">
      <w:pPr>
        <w:rPr>
          <w:rFonts w:ascii="Open Sans" w:hAnsi="Open Sans" w:cs="Open Sans"/>
          <w:sz w:val="21"/>
          <w:szCs w:val="21"/>
        </w:rPr>
      </w:pPr>
    </w:p>
    <w:p w14:paraId="2AADFB38" w14:textId="6ABE9708" w:rsidR="00B173DA" w:rsidRPr="00ED66F7" w:rsidRDefault="00B173DA" w:rsidP="00B173DA">
      <w:pPr>
        <w:rPr>
          <w:rFonts w:ascii="Open Sans" w:hAnsi="Open Sans" w:cs="Open Sans"/>
          <w:sz w:val="21"/>
          <w:szCs w:val="21"/>
        </w:rPr>
      </w:pPr>
      <w:r w:rsidRPr="00ED66F7">
        <w:rPr>
          <w:rFonts w:ascii="Open Sans" w:hAnsi="Open Sans" w:cs="Open Sans"/>
          <w:sz w:val="21"/>
          <w:szCs w:val="21"/>
        </w:rPr>
        <w:t xml:space="preserve">However, </w:t>
      </w:r>
      <w:r w:rsidR="00ED66F7">
        <w:rPr>
          <w:rFonts w:ascii="Open Sans" w:hAnsi="Open Sans" w:cs="Open Sans"/>
          <w:sz w:val="21"/>
          <w:szCs w:val="21"/>
        </w:rPr>
        <w:t xml:space="preserve">the </w:t>
      </w:r>
      <w:r w:rsidRPr="00ED66F7">
        <w:rPr>
          <w:rFonts w:ascii="Open Sans" w:hAnsi="Open Sans" w:cs="Open Sans"/>
          <w:sz w:val="21"/>
          <w:szCs w:val="21"/>
        </w:rPr>
        <w:t xml:space="preserve">Bill has lost the very valuable reference, found in the Children (Scotland) Act 1995, to it being the child’s choice whether he or she expresses views at all: the reference to “if the child wishes to express the view”.  That avoids the child being placed under any pressure to do so, something supported by the United Nations Committee on the Rights of the Child: in </w:t>
      </w:r>
      <w:r w:rsidRPr="00ED66F7">
        <w:rPr>
          <w:rFonts w:ascii="Open Sans" w:hAnsi="Open Sans" w:cs="Open Sans"/>
          <w:i/>
          <w:sz w:val="21"/>
          <w:szCs w:val="21"/>
        </w:rPr>
        <w:t>General Comment No 12: The Right of the Child to be Heard</w:t>
      </w:r>
      <w:r w:rsidRPr="00ED66F7">
        <w:rPr>
          <w:rFonts w:ascii="Open Sans" w:hAnsi="Open Sans" w:cs="Open Sans"/>
          <w:sz w:val="21"/>
          <w:szCs w:val="21"/>
        </w:rPr>
        <w:t xml:space="preserve">, </w:t>
      </w:r>
      <w:r w:rsidRPr="00ED66F7">
        <w:rPr>
          <w:rFonts w:ascii="Open Sans" w:hAnsi="Open Sans" w:cs="Open Sans"/>
          <w:sz w:val="21"/>
          <w:szCs w:val="21"/>
        </w:rPr>
        <w:fldChar w:fldCharType="begin"/>
      </w:r>
      <w:r w:rsidRPr="00ED66F7">
        <w:rPr>
          <w:rFonts w:ascii="Open Sans" w:hAnsi="Open Sans" w:cs="Open Sans"/>
          <w:sz w:val="21"/>
          <w:szCs w:val="21"/>
        </w:rPr>
        <w:instrText xml:space="preserve"> FILLIN "Symbol" \* MERGEFORMAT </w:instrText>
      </w:r>
      <w:r w:rsidRPr="00ED66F7">
        <w:rPr>
          <w:rFonts w:ascii="Open Sans" w:hAnsi="Open Sans" w:cs="Open Sans"/>
          <w:sz w:val="21"/>
          <w:szCs w:val="21"/>
        </w:rPr>
        <w:fldChar w:fldCharType="separate"/>
      </w:r>
      <w:r w:rsidRPr="00ED66F7">
        <w:rPr>
          <w:rFonts w:ascii="Open Sans" w:hAnsi="Open Sans" w:cs="Open Sans"/>
          <w:sz w:val="21"/>
          <w:szCs w:val="21"/>
        </w:rPr>
        <w:t>CRC/C/GC/12</w:t>
      </w:r>
      <w:r w:rsidRPr="00ED66F7">
        <w:rPr>
          <w:rFonts w:ascii="Open Sans" w:hAnsi="Open Sans" w:cs="Open Sans"/>
          <w:sz w:val="21"/>
          <w:szCs w:val="21"/>
        </w:rPr>
        <w:fldChar w:fldCharType="end"/>
      </w:r>
      <w:r w:rsidRPr="00ED66F7">
        <w:rPr>
          <w:rFonts w:ascii="Open Sans" w:hAnsi="Open Sans" w:cs="Open Sans"/>
          <w:sz w:val="21"/>
          <w:szCs w:val="21"/>
        </w:rPr>
        <w:t>, [16]: “Expressing views is a choice for the child, not an obligation.”</w:t>
      </w:r>
      <w:r w:rsidR="00ED66F7">
        <w:rPr>
          <w:rFonts w:ascii="Open Sans" w:hAnsi="Open Sans" w:cs="Open Sans"/>
          <w:sz w:val="21"/>
          <w:szCs w:val="21"/>
        </w:rPr>
        <w:t xml:space="preserve"> </w:t>
      </w:r>
    </w:p>
    <w:p w14:paraId="4F883968" w14:textId="51BDAE1D" w:rsidR="00C269C5" w:rsidRPr="00EA3A49" w:rsidRDefault="00C269C5" w:rsidP="00D25641">
      <w:pPr>
        <w:rPr>
          <w:rFonts w:ascii="Open Sans" w:hAnsi="Open Sans" w:cs="Open Sans"/>
          <w:sz w:val="21"/>
          <w:szCs w:val="21"/>
        </w:rPr>
      </w:pPr>
    </w:p>
    <w:p w14:paraId="0A297A05" w14:textId="2F5270CC" w:rsidR="001A66C7" w:rsidRPr="00EA3A49" w:rsidRDefault="00EB7B1B" w:rsidP="001A66C7">
      <w:pPr>
        <w:pStyle w:val="Heading"/>
        <w:rPr>
          <w:lang w:val="en-US"/>
        </w:rPr>
      </w:pPr>
      <w:r w:rsidRPr="00EA3A49">
        <w:rPr>
          <w:lang w:val="en-US"/>
        </w:rPr>
        <w:t>Effective participation</w:t>
      </w:r>
    </w:p>
    <w:p w14:paraId="2554AA03" w14:textId="660B32D7" w:rsidR="00355EAD" w:rsidRPr="00B173DA" w:rsidRDefault="00EB7B1B" w:rsidP="00355EAD">
      <w:pPr>
        <w:rPr>
          <w:rFonts w:ascii="Open Sans" w:hAnsi="Open Sans" w:cs="Open Sans"/>
          <w:sz w:val="21"/>
          <w:szCs w:val="21"/>
          <w:lang w:val="en-US"/>
        </w:rPr>
      </w:pPr>
      <w:r w:rsidRPr="00B173DA">
        <w:rPr>
          <w:rFonts w:ascii="Open Sans" w:hAnsi="Open Sans" w:cs="Open Sans"/>
          <w:sz w:val="21"/>
          <w:szCs w:val="21"/>
          <w:lang w:val="en-US"/>
        </w:rPr>
        <w:t xml:space="preserve">Issues around effective participation at Children’s Hearings have been raised, for instance, in the recent </w:t>
      </w:r>
      <w:r w:rsidR="00574091" w:rsidRPr="00B173DA">
        <w:rPr>
          <w:rFonts w:ascii="Open Sans" w:hAnsi="Open Sans" w:cs="Open Sans"/>
          <w:sz w:val="21"/>
          <w:szCs w:val="21"/>
          <w:lang w:val="en-US"/>
        </w:rPr>
        <w:t xml:space="preserve">Supreme Court </w:t>
      </w:r>
      <w:r w:rsidRPr="00B173DA">
        <w:rPr>
          <w:rFonts w:ascii="Open Sans" w:hAnsi="Open Sans" w:cs="Open Sans"/>
          <w:sz w:val="21"/>
          <w:szCs w:val="21"/>
          <w:lang w:val="en-US"/>
        </w:rPr>
        <w:t xml:space="preserve">case of </w:t>
      </w:r>
      <w:r w:rsidRPr="00B173DA">
        <w:rPr>
          <w:rFonts w:ascii="Open Sans" w:hAnsi="Open Sans" w:cs="Open Sans"/>
          <w:i/>
          <w:iCs/>
          <w:sz w:val="21"/>
          <w:szCs w:val="21"/>
          <w:lang w:val="en-US"/>
        </w:rPr>
        <w:t>ABC v Principal Reporter</w:t>
      </w:r>
      <w:r w:rsidRPr="00B173DA">
        <w:rPr>
          <w:rStyle w:val="EndnoteReference"/>
          <w:rFonts w:ascii="Open Sans" w:hAnsi="Open Sans" w:cs="Open Sans"/>
          <w:i/>
          <w:iCs/>
          <w:sz w:val="21"/>
          <w:szCs w:val="21"/>
          <w:lang w:val="en-US"/>
        </w:rPr>
        <w:endnoteReference w:id="8"/>
      </w:r>
      <w:r w:rsidRPr="00B173DA">
        <w:rPr>
          <w:rFonts w:ascii="Open Sans" w:hAnsi="Open Sans" w:cs="Open Sans"/>
          <w:sz w:val="21"/>
          <w:szCs w:val="21"/>
          <w:lang w:val="en-US"/>
        </w:rPr>
        <w:t xml:space="preserve">, around how brothers and </w:t>
      </w:r>
      <w:r w:rsidR="00574091" w:rsidRPr="00B173DA">
        <w:rPr>
          <w:rFonts w:ascii="Open Sans" w:hAnsi="Open Sans" w:cs="Open Sans"/>
          <w:sz w:val="21"/>
          <w:szCs w:val="21"/>
          <w:lang w:val="en-US"/>
        </w:rPr>
        <w:t>sisters</w:t>
      </w:r>
      <w:r w:rsidRPr="00B173DA">
        <w:rPr>
          <w:rFonts w:ascii="Open Sans" w:hAnsi="Open Sans" w:cs="Open Sans"/>
          <w:sz w:val="21"/>
          <w:szCs w:val="21"/>
          <w:lang w:val="en-US"/>
        </w:rPr>
        <w:t xml:space="preserve"> are able to participate</w:t>
      </w:r>
      <w:r w:rsidR="00574091" w:rsidRPr="00B173DA">
        <w:rPr>
          <w:rFonts w:ascii="Open Sans" w:hAnsi="Open Sans" w:cs="Open Sans"/>
          <w:sz w:val="21"/>
          <w:szCs w:val="21"/>
          <w:lang w:val="en-US"/>
        </w:rPr>
        <w:t xml:space="preserve"> and the rights of access that they have in proceedings. Though the court determined that “[current] measures should work if the children’s hearings are conducted in a practical and sensible manner and in compliance with the guidance given by the Principal Reporter and Children’s Hearings Scotland”, </w:t>
      </w:r>
      <w:r w:rsidR="00BA2D0C" w:rsidRPr="00B173DA">
        <w:rPr>
          <w:rFonts w:ascii="Open Sans" w:hAnsi="Open Sans" w:cs="Open Sans"/>
          <w:sz w:val="21"/>
          <w:szCs w:val="21"/>
          <w:lang w:val="en-US"/>
        </w:rPr>
        <w:t>there was recognition of the importance of “the interest of both the child and the sibling in maintaining a sibling relationship through contact (or through placement if both are subject to CSOs) in most cases.”</w:t>
      </w:r>
      <w:r w:rsidR="00355EAD" w:rsidRPr="00B173DA">
        <w:rPr>
          <w:rFonts w:ascii="Open Sans" w:hAnsi="Open Sans" w:cs="Open Sans"/>
          <w:sz w:val="21"/>
          <w:szCs w:val="21"/>
          <w:lang w:val="en-US"/>
        </w:rPr>
        <w:t xml:space="preserve"> </w:t>
      </w:r>
    </w:p>
    <w:p w14:paraId="72827820" w14:textId="19CB04BC" w:rsidR="00BA2D0C" w:rsidRPr="00B173DA" w:rsidRDefault="00BA2D0C" w:rsidP="001A66C7">
      <w:pPr>
        <w:rPr>
          <w:rFonts w:ascii="Open Sans" w:hAnsi="Open Sans" w:cs="Open Sans"/>
          <w:sz w:val="21"/>
          <w:szCs w:val="21"/>
          <w:lang w:val="en-US"/>
        </w:rPr>
      </w:pPr>
    </w:p>
    <w:p w14:paraId="5E634CB4" w14:textId="4C3133DD" w:rsidR="00355EAD" w:rsidRPr="00B173DA" w:rsidRDefault="00355EAD" w:rsidP="00355EAD">
      <w:pPr>
        <w:rPr>
          <w:rFonts w:ascii="Open Sans" w:hAnsi="Open Sans" w:cs="Open Sans"/>
          <w:sz w:val="21"/>
          <w:szCs w:val="21"/>
          <w:lang w:val="en-US"/>
        </w:rPr>
      </w:pPr>
      <w:r w:rsidRPr="00B173DA">
        <w:rPr>
          <w:rFonts w:ascii="Open Sans" w:hAnsi="Open Sans" w:cs="Open Sans"/>
          <w:sz w:val="21"/>
          <w:szCs w:val="21"/>
          <w:lang w:val="en-US"/>
        </w:rPr>
        <w:t>The amendment suggested for stage 3</w:t>
      </w:r>
      <w:r w:rsidRPr="00B173DA">
        <w:rPr>
          <w:rStyle w:val="EndnoteReference"/>
          <w:rFonts w:ascii="Open Sans" w:hAnsi="Open Sans" w:cs="Open Sans"/>
          <w:sz w:val="21"/>
          <w:szCs w:val="21"/>
          <w:lang w:val="en-US"/>
        </w:rPr>
        <w:endnoteReference w:id="9"/>
      </w:r>
      <w:r w:rsidRPr="00B173DA">
        <w:rPr>
          <w:rFonts w:ascii="Open Sans" w:hAnsi="Open Sans" w:cs="Open Sans"/>
          <w:sz w:val="21"/>
          <w:szCs w:val="21"/>
          <w:lang w:val="en-US"/>
        </w:rPr>
        <w:t xml:space="preserve"> aims to address the potential difficulties which arise from the Supreme Court’s decision. This amendment in principle would look to resolve these by creating a middle ground, allowing affected children a right of participation without the consequences that would flow from them being a relevant person. Maintaining sibling relationships for looked after children is such an important issue and one that the legislative scheme to date has failed to adequately deal with and we support this change. </w:t>
      </w:r>
    </w:p>
    <w:p w14:paraId="1F80E494" w14:textId="77777777" w:rsidR="00355EAD" w:rsidRPr="00B173DA" w:rsidRDefault="00355EAD" w:rsidP="00355EAD">
      <w:pPr>
        <w:rPr>
          <w:rFonts w:ascii="Open Sans" w:hAnsi="Open Sans" w:cs="Open Sans"/>
          <w:sz w:val="21"/>
          <w:szCs w:val="21"/>
          <w:lang w:val="en-US"/>
        </w:rPr>
      </w:pPr>
    </w:p>
    <w:p w14:paraId="7816EA90" w14:textId="1B1F2445" w:rsidR="00355EAD" w:rsidRPr="00B173DA" w:rsidRDefault="00355EAD" w:rsidP="00355EAD">
      <w:pPr>
        <w:rPr>
          <w:rFonts w:ascii="Open Sans" w:hAnsi="Open Sans" w:cs="Open Sans"/>
          <w:sz w:val="21"/>
          <w:szCs w:val="21"/>
          <w:lang w:val="en-US"/>
        </w:rPr>
      </w:pPr>
      <w:r w:rsidRPr="00B173DA">
        <w:rPr>
          <w:rFonts w:ascii="Open Sans" w:hAnsi="Open Sans" w:cs="Open Sans"/>
          <w:sz w:val="21"/>
          <w:szCs w:val="21"/>
          <w:lang w:val="en-US"/>
        </w:rPr>
        <w:t xml:space="preserve">The criteria for enjoying such status is not set out in the Bill and would be set by secondary legislation from the Scottish Ministers, relying upon s177 of the 2011 Act. It would be preferable to include this within the Bill itself. There is no provision for a right of appeal against a decision not to confer such status. The former seems essential, given the panel are a lay tribunal and this is a potentially complex question of mixed fact and law. </w:t>
      </w:r>
      <w:r w:rsidRPr="00B173DA">
        <w:rPr>
          <w:rFonts w:ascii="Open Sans" w:hAnsi="Open Sans" w:cs="Open Sans"/>
          <w:sz w:val="21"/>
          <w:szCs w:val="21"/>
          <w:lang w:val="en-US"/>
        </w:rPr>
        <w:lastRenderedPageBreak/>
        <w:t xml:space="preserve">Persons seeking deemed relevant person status have a discrete right of appeal against a decision about that in terms of s160. The situation is broadly similar, and there seems no reason not to afford a similar right of focused appeal. </w:t>
      </w:r>
    </w:p>
    <w:p w14:paraId="36381DB0" w14:textId="77777777" w:rsidR="00355EAD" w:rsidRPr="00B173DA" w:rsidRDefault="00355EAD" w:rsidP="00355EAD">
      <w:pPr>
        <w:rPr>
          <w:rFonts w:ascii="Open Sans" w:hAnsi="Open Sans" w:cs="Open Sans"/>
          <w:sz w:val="21"/>
          <w:szCs w:val="21"/>
          <w:lang w:val="en-US"/>
        </w:rPr>
      </w:pPr>
    </w:p>
    <w:p w14:paraId="22318EB9" w14:textId="36173F9C" w:rsidR="00355EAD" w:rsidRPr="00B173DA" w:rsidRDefault="00355EAD" w:rsidP="00355EAD">
      <w:pPr>
        <w:rPr>
          <w:rFonts w:ascii="Open Sans" w:hAnsi="Open Sans" w:cs="Open Sans"/>
          <w:sz w:val="21"/>
          <w:szCs w:val="21"/>
          <w:lang w:val="en-US"/>
        </w:rPr>
      </w:pPr>
      <w:r w:rsidRPr="00B173DA">
        <w:rPr>
          <w:rFonts w:ascii="Open Sans" w:hAnsi="Open Sans" w:cs="Open Sans"/>
          <w:sz w:val="21"/>
          <w:szCs w:val="21"/>
          <w:lang w:val="en-US"/>
        </w:rPr>
        <w:t xml:space="preserve">There is also no provision for a right of appeal against a decision taken by a panel which affects the rights of a person with such a status. The thrust of the Supreme Court judgment includes avoiding a dramatic expansion of the people involved in decision making, and so a completely open right of appeal would not be appropriate. The right could be restricted to appealing decisions which materially affected that person’s personal relations with the child. In practice, it would largely be focused on appeals against a measure (or probably more commonly a failure to make a measure) of contact between them. </w:t>
      </w:r>
    </w:p>
    <w:p w14:paraId="34F001CA" w14:textId="77777777" w:rsidR="00355EAD" w:rsidRPr="00B173DA" w:rsidRDefault="00355EAD" w:rsidP="00355EAD">
      <w:pPr>
        <w:rPr>
          <w:rFonts w:ascii="Open Sans" w:hAnsi="Open Sans" w:cs="Open Sans"/>
          <w:sz w:val="21"/>
          <w:szCs w:val="21"/>
          <w:lang w:val="en-US"/>
        </w:rPr>
      </w:pPr>
    </w:p>
    <w:p w14:paraId="03D7714C" w14:textId="1F1D9030" w:rsidR="001A66C7" w:rsidRPr="00B173DA" w:rsidRDefault="00355EAD" w:rsidP="00355EAD">
      <w:pPr>
        <w:rPr>
          <w:rFonts w:ascii="Open Sans" w:hAnsi="Open Sans" w:cs="Open Sans"/>
          <w:sz w:val="21"/>
          <w:szCs w:val="21"/>
          <w:lang w:val="en-US"/>
        </w:rPr>
      </w:pPr>
      <w:r w:rsidRPr="00B173DA">
        <w:rPr>
          <w:rFonts w:ascii="Open Sans" w:hAnsi="Open Sans" w:cs="Open Sans"/>
          <w:sz w:val="21"/>
          <w:szCs w:val="21"/>
          <w:lang w:val="en-US"/>
        </w:rPr>
        <w:t xml:space="preserve">There is a right to representation but no arrangements for funding. This may not be capable of resolving through secondary legislation, as the provisions for who can get ABWOR/children’s legal aid are set out in primary legislation (see s28B et seq of the Legal Aid (Scotland) Act 1986). When funding for persons seeking to be deemed relevant persons was made available, that came from amendment by virtue of s191 of the 2011 Act. Funding for representation makes these rights practical and effective, so there may need to be further consideration around how to ensure this can occur. </w:t>
      </w:r>
    </w:p>
    <w:p w14:paraId="523463F7" w14:textId="77777777" w:rsidR="00355EAD" w:rsidRPr="00EA3A49" w:rsidRDefault="00355EAD" w:rsidP="00355EAD">
      <w:pPr>
        <w:rPr>
          <w:rFonts w:ascii="Open Sans" w:hAnsi="Open Sans" w:cs="Open Sans"/>
          <w:sz w:val="21"/>
          <w:szCs w:val="21"/>
        </w:rPr>
      </w:pPr>
    </w:p>
    <w:p w14:paraId="4FC5FEA5" w14:textId="064C1C09" w:rsidR="00C269C5" w:rsidRPr="00EA3A49" w:rsidRDefault="00EA3A49" w:rsidP="00C269C5">
      <w:pPr>
        <w:pStyle w:val="Heading"/>
        <w:rPr>
          <w:lang w:val="en-US"/>
        </w:rPr>
      </w:pPr>
      <w:r w:rsidRPr="00EA3A49">
        <w:rPr>
          <w:lang w:val="en-US"/>
        </w:rPr>
        <w:t>Alternative dispute resolution</w:t>
      </w:r>
    </w:p>
    <w:p w14:paraId="3A60F725" w14:textId="3E0E41FB" w:rsidR="00C269C5" w:rsidRPr="00B173DA" w:rsidRDefault="00EA3A49" w:rsidP="00D25641">
      <w:pPr>
        <w:rPr>
          <w:rFonts w:ascii="Open Sans" w:hAnsi="Open Sans" w:cs="Open Sans"/>
          <w:sz w:val="21"/>
          <w:szCs w:val="21"/>
          <w:lang w:val="en-US"/>
        </w:rPr>
        <w:sectPr w:rsidR="00C269C5" w:rsidRPr="00B173DA" w:rsidSect="0077776B">
          <w:headerReference w:type="default" r:id="rId10"/>
          <w:footerReference w:type="default" r:id="rId11"/>
          <w:endnotePr>
            <w:numFmt w:val="decimal"/>
          </w:endnotePr>
          <w:pgSz w:w="11900" w:h="16840"/>
          <w:pgMar w:top="720" w:right="720" w:bottom="720" w:left="720" w:header="1984" w:footer="720" w:gutter="0"/>
          <w:cols w:space="720"/>
          <w:docGrid w:linePitch="360"/>
        </w:sectPr>
      </w:pPr>
      <w:r w:rsidRPr="00B173DA">
        <w:rPr>
          <w:rFonts w:ascii="Open Sans" w:hAnsi="Open Sans" w:cs="Open Sans"/>
          <w:sz w:val="21"/>
          <w:szCs w:val="21"/>
          <w:lang w:val="en-US"/>
        </w:rPr>
        <w:t>There is undoubtedly a role for alternative dispute resolution to help resolve disputes effectively and an amendment at stage 3 seeks to develop this provision</w:t>
      </w:r>
      <w:r w:rsidRPr="00B173DA">
        <w:rPr>
          <w:rStyle w:val="EndnoteReference"/>
          <w:rFonts w:ascii="Open Sans" w:hAnsi="Open Sans" w:cs="Open Sans"/>
          <w:sz w:val="21"/>
          <w:szCs w:val="21"/>
          <w:lang w:val="en-US"/>
        </w:rPr>
        <w:endnoteReference w:id="10"/>
      </w:r>
      <w:r w:rsidRPr="00B173DA">
        <w:rPr>
          <w:rFonts w:ascii="Open Sans" w:hAnsi="Open Sans" w:cs="Open Sans"/>
          <w:sz w:val="21"/>
          <w:szCs w:val="21"/>
          <w:lang w:val="en-US"/>
        </w:rPr>
        <w:t xml:space="preserve">. However, we anticipate very complex issues and competing positions around the broadening of ADR, which would require very careful consideration.  We believe that further consultation is important, before developing proposals in this area. </w:t>
      </w:r>
    </w:p>
    <w:p w14:paraId="69231FAD" w14:textId="61FB0DBC" w:rsidR="00ED66F7" w:rsidRDefault="00ED66F7" w:rsidP="00E37019">
      <w:pPr>
        <w:rPr>
          <w:rFonts w:ascii="Open Sans" w:hAnsi="Open Sans" w:cs="Open Sans"/>
          <w:sz w:val="21"/>
          <w:szCs w:val="21"/>
          <w:lang w:val="en-US"/>
        </w:rPr>
      </w:pPr>
    </w:p>
    <w:p w14:paraId="72BD8335" w14:textId="0F9B9262" w:rsidR="00ED66F7" w:rsidRPr="00ED66F7" w:rsidRDefault="00ED66F7" w:rsidP="00ED66F7">
      <w:pPr>
        <w:rPr>
          <w:rFonts w:ascii="Open Sans" w:hAnsi="Open Sans" w:cs="Open Sans"/>
          <w:sz w:val="21"/>
          <w:szCs w:val="21"/>
        </w:rPr>
      </w:pPr>
      <w:r>
        <w:rPr>
          <w:rFonts w:ascii="Open Sans" w:hAnsi="Open Sans" w:cs="Open Sans"/>
          <w:sz w:val="21"/>
          <w:szCs w:val="21"/>
          <w:lang w:val="en-US"/>
        </w:rPr>
        <w:t xml:space="preserve">We are concerned about the provisions on mandatory mediation meetings. Though </w:t>
      </w:r>
      <w:r w:rsidRPr="00ED66F7">
        <w:rPr>
          <w:rFonts w:ascii="Open Sans" w:hAnsi="Open Sans" w:cs="Open Sans"/>
          <w:sz w:val="21"/>
          <w:szCs w:val="21"/>
          <w:lang w:val="en-US"/>
        </w:rPr>
        <w:t xml:space="preserve">it would only be attending the meeting, not participating in mediation itself, that would be mandatory; and there is a domestic abuse exception. </w:t>
      </w:r>
      <w:r w:rsidRPr="00ED66F7">
        <w:rPr>
          <w:rFonts w:ascii="Open Sans" w:hAnsi="Open Sans" w:cs="Open Sans"/>
          <w:sz w:val="21"/>
          <w:szCs w:val="21"/>
        </w:rPr>
        <w:t xml:space="preserve">When the Justice Committee looked at mandatory mediation, in 2018, </w:t>
      </w:r>
      <w:r w:rsidR="008C7D72">
        <w:rPr>
          <w:rFonts w:ascii="Open Sans" w:hAnsi="Open Sans" w:cs="Open Sans"/>
          <w:sz w:val="21"/>
          <w:szCs w:val="21"/>
        </w:rPr>
        <w:t>the proposal was</w:t>
      </w:r>
      <w:r w:rsidRPr="00ED66F7">
        <w:rPr>
          <w:rFonts w:ascii="Open Sans" w:hAnsi="Open Sans" w:cs="Open Sans"/>
          <w:sz w:val="21"/>
          <w:szCs w:val="21"/>
        </w:rPr>
        <w:t xml:space="preserve"> rejected</w:t>
      </w:r>
      <w:r w:rsidR="008C7D72">
        <w:rPr>
          <w:rStyle w:val="EndnoteReference"/>
          <w:rFonts w:ascii="Open Sans" w:hAnsi="Open Sans" w:cs="Open Sans"/>
          <w:sz w:val="21"/>
          <w:szCs w:val="21"/>
        </w:rPr>
        <w:endnoteReference w:id="11"/>
      </w:r>
      <w:r w:rsidR="008C7D72">
        <w:rPr>
          <w:rFonts w:ascii="Open Sans" w:hAnsi="Open Sans" w:cs="Open Sans"/>
          <w:sz w:val="21"/>
          <w:szCs w:val="21"/>
        </w:rPr>
        <w:t xml:space="preserve">. </w:t>
      </w:r>
      <w:r w:rsidRPr="00ED66F7">
        <w:rPr>
          <w:rFonts w:ascii="Open Sans" w:hAnsi="Open Sans" w:cs="Open Sans"/>
          <w:sz w:val="21"/>
          <w:szCs w:val="21"/>
        </w:rPr>
        <w:t xml:space="preserve"> </w:t>
      </w:r>
    </w:p>
    <w:p w14:paraId="48C6BBE9" w14:textId="4AD92B8F" w:rsidR="00ED66F7" w:rsidRPr="00ED66F7" w:rsidRDefault="00ED66F7" w:rsidP="00ED66F7">
      <w:pPr>
        <w:rPr>
          <w:rFonts w:ascii="Open Sans" w:hAnsi="Open Sans" w:cs="Open Sans"/>
          <w:bCs/>
          <w:sz w:val="21"/>
          <w:szCs w:val="21"/>
        </w:rPr>
      </w:pPr>
      <w:r w:rsidRPr="00ED66F7">
        <w:rPr>
          <w:rFonts w:ascii="Open Sans" w:hAnsi="Open Sans" w:cs="Open Sans"/>
          <w:sz w:val="21"/>
          <w:szCs w:val="21"/>
          <w:lang w:val="en-US"/>
        </w:rPr>
        <w:t>The English experience of Mandatory Information and Assessment Meetings (MIAMs), where the “mandatory” element was introduced by the Children and Families Act 2014, s.10(1)</w:t>
      </w:r>
      <w:r w:rsidRPr="00ED66F7">
        <w:rPr>
          <w:rFonts w:ascii="Open Sans" w:hAnsi="Open Sans" w:cs="Open Sans"/>
          <w:bCs/>
          <w:sz w:val="21"/>
          <w:szCs w:val="21"/>
          <w:lang w:val="en-US"/>
        </w:rPr>
        <w:t xml:space="preserve">, </w:t>
      </w:r>
      <w:r w:rsidRPr="00ED66F7">
        <w:rPr>
          <w:rFonts w:ascii="Open Sans" w:hAnsi="Open Sans" w:cs="Open Sans"/>
          <w:sz w:val="21"/>
          <w:szCs w:val="21"/>
          <w:lang w:val="en-US"/>
        </w:rPr>
        <w:t>has not been</w:t>
      </w:r>
      <w:r w:rsidR="008C7D72">
        <w:rPr>
          <w:rFonts w:ascii="Open Sans" w:hAnsi="Open Sans" w:cs="Open Sans"/>
          <w:sz w:val="21"/>
          <w:szCs w:val="21"/>
          <w:lang w:val="en-US"/>
        </w:rPr>
        <w:t xml:space="preserve"> positive</w:t>
      </w:r>
      <w:r w:rsidR="008C7D72">
        <w:rPr>
          <w:rStyle w:val="EndnoteReference"/>
          <w:rFonts w:ascii="Open Sans" w:hAnsi="Open Sans" w:cs="Open Sans"/>
          <w:sz w:val="21"/>
          <w:szCs w:val="21"/>
          <w:lang w:val="en-US"/>
        </w:rPr>
        <w:endnoteReference w:id="12"/>
      </w:r>
      <w:r w:rsidR="008C7D72">
        <w:rPr>
          <w:rFonts w:ascii="Open Sans" w:hAnsi="Open Sans" w:cs="Open Sans"/>
          <w:sz w:val="21"/>
          <w:szCs w:val="21"/>
          <w:lang w:val="en-US"/>
        </w:rPr>
        <w:t>.</w:t>
      </w:r>
      <w:r w:rsidRPr="00ED66F7">
        <w:rPr>
          <w:rFonts w:ascii="Open Sans" w:hAnsi="Open Sans" w:cs="Open Sans"/>
          <w:sz w:val="21"/>
          <w:szCs w:val="21"/>
          <w:lang w:val="en-US"/>
        </w:rPr>
        <w:t xml:space="preserve"> </w:t>
      </w:r>
      <w:r w:rsidRPr="00ED66F7">
        <w:rPr>
          <w:rFonts w:ascii="Open Sans" w:hAnsi="Open Sans" w:cs="Open Sans"/>
          <w:sz w:val="21"/>
          <w:szCs w:val="21"/>
        </w:rPr>
        <w:t>In Ireland, the legislation provides for MIAMs being available in family and succession proceedings (</w:t>
      </w:r>
      <w:r w:rsidRPr="00ED66F7">
        <w:rPr>
          <w:rFonts w:ascii="Open Sans" w:hAnsi="Open Sans" w:cs="Open Sans"/>
          <w:sz w:val="21"/>
          <w:szCs w:val="21"/>
          <w:lang w:val="en-US"/>
        </w:rPr>
        <w:t xml:space="preserve">Mediation Act 2017, s.23) </w:t>
      </w:r>
      <w:r w:rsidRPr="00ED66F7">
        <w:rPr>
          <w:rFonts w:ascii="Open Sans" w:hAnsi="Open Sans" w:cs="Open Sans"/>
          <w:sz w:val="21"/>
          <w:szCs w:val="21"/>
        </w:rPr>
        <w:t>and the court can “invite the parties” to consider mediation, but it is not mandatory (s.16)</w:t>
      </w:r>
      <w:r w:rsidR="008C7D72">
        <w:rPr>
          <w:rFonts w:ascii="Open Sans" w:hAnsi="Open Sans" w:cs="Open Sans"/>
          <w:sz w:val="21"/>
          <w:szCs w:val="21"/>
        </w:rPr>
        <w:t xml:space="preserve">, though it remains a question as to how an invitation from the court, as opposed to a direction, might be perceived. </w:t>
      </w:r>
      <w:r w:rsidRPr="00ED66F7">
        <w:rPr>
          <w:rFonts w:ascii="Open Sans" w:hAnsi="Open Sans" w:cs="Open Sans"/>
          <w:bCs/>
          <w:sz w:val="21"/>
          <w:szCs w:val="21"/>
        </w:rPr>
        <w:t xml:space="preserve"> </w:t>
      </w:r>
    </w:p>
    <w:p w14:paraId="774ACB0C" w14:textId="77777777" w:rsidR="00ED66F7" w:rsidRPr="00ED66F7" w:rsidRDefault="00ED66F7" w:rsidP="00E37019">
      <w:pPr>
        <w:rPr>
          <w:rFonts w:ascii="Open Sans" w:hAnsi="Open Sans" w:cs="Open Sans"/>
          <w:sz w:val="21"/>
          <w:szCs w:val="21"/>
          <w:lang w:val="en-US"/>
        </w:rPr>
      </w:pPr>
    </w:p>
    <w:sectPr w:rsidR="00ED66F7" w:rsidRPr="00ED66F7" w:rsidSect="00E65C8A">
      <w:endnotePr>
        <w:numFmt w:val="decimal"/>
      </w:endnotePr>
      <w:type w:val="continuous"/>
      <w:pgSz w:w="11900" w:h="16840"/>
      <w:pgMar w:top="720" w:right="720" w:bottom="720" w:left="720" w:header="19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814FD5" w14:textId="77777777" w:rsidR="00B4581B" w:rsidRDefault="00B4581B" w:rsidP="00AA39FA">
      <w:r>
        <w:separator/>
      </w:r>
    </w:p>
  </w:endnote>
  <w:endnote w:type="continuationSeparator" w:id="0">
    <w:p w14:paraId="51BF9B18" w14:textId="77777777" w:rsidR="00B4581B" w:rsidRDefault="00B4581B" w:rsidP="00AA39FA">
      <w:r>
        <w:continuationSeparator/>
      </w:r>
    </w:p>
  </w:endnote>
  <w:endnote w:id="1">
    <w:p w14:paraId="795F28B4" w14:textId="73D8FB5C" w:rsidR="00E93BC2" w:rsidRPr="00870F92" w:rsidRDefault="00E93BC2">
      <w:pPr>
        <w:pStyle w:val="EndnoteText"/>
        <w:rPr>
          <w:rFonts w:ascii="Open Sans" w:hAnsi="Open Sans" w:cs="Open Sans"/>
          <w:sz w:val="21"/>
          <w:szCs w:val="21"/>
        </w:rPr>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Amendment 40, section 8, Marshalled List of Amendments for Stage 3 (</w:t>
      </w:r>
      <w:hyperlink r:id="rId1" w:history="1">
        <w:r w:rsidRPr="00870F92">
          <w:rPr>
            <w:rStyle w:val="Hyperlink"/>
            <w:rFonts w:ascii="Open Sans" w:hAnsi="Open Sans" w:cs="Open Sans"/>
            <w:sz w:val="21"/>
            <w:szCs w:val="21"/>
          </w:rPr>
          <w:t>https://beta.parliament.scot/-/media/files/legislation/bills/current-bills/children-scotland-bill/stage-3/first-marshalled-list-of-amendments-at-stage-3-children-scotland-bill.pdf</w:t>
        </w:r>
      </w:hyperlink>
    </w:p>
  </w:endnote>
  <w:endnote w:id="2">
    <w:p w14:paraId="6FD776DE" w14:textId="3E4D4F19" w:rsidR="00E65C8A" w:rsidRPr="00870F92" w:rsidRDefault="00E65C8A">
      <w:pPr>
        <w:pStyle w:val="EndnoteText"/>
        <w:rPr>
          <w:rFonts w:ascii="Open Sans" w:hAnsi="Open Sans" w:cs="Open Sans"/>
          <w:sz w:val="21"/>
          <w:szCs w:val="21"/>
        </w:rPr>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Amendment 20, </w:t>
      </w:r>
      <w:r w:rsidR="00E93BC2" w:rsidRPr="00870F92">
        <w:rPr>
          <w:rFonts w:ascii="Open Sans" w:hAnsi="Open Sans" w:cs="Open Sans"/>
          <w:sz w:val="21"/>
          <w:szCs w:val="21"/>
        </w:rPr>
        <w:t xml:space="preserve">after section 9, </w:t>
      </w:r>
      <w:r w:rsidRPr="00870F92">
        <w:rPr>
          <w:rFonts w:ascii="Open Sans" w:hAnsi="Open Sans" w:cs="Open Sans"/>
          <w:sz w:val="21"/>
          <w:szCs w:val="21"/>
        </w:rPr>
        <w:t>Marshalled List of Amendments for Stage 3</w:t>
      </w:r>
    </w:p>
  </w:endnote>
  <w:endnote w:id="3">
    <w:p w14:paraId="0D9A1DF2" w14:textId="68E1F1BC" w:rsidR="00644BF2" w:rsidRPr="00870F92" w:rsidRDefault="00644BF2">
      <w:pPr>
        <w:pStyle w:val="EndnoteText"/>
        <w:rPr>
          <w:rFonts w:ascii="Open Sans" w:hAnsi="Open Sans" w:cs="Open Sans"/>
          <w:sz w:val="21"/>
          <w:szCs w:val="21"/>
        </w:rPr>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w:t>
      </w:r>
      <w:hyperlink r:id="rId2" w:history="1">
        <w:r w:rsidRPr="00870F92">
          <w:rPr>
            <w:rStyle w:val="Hyperlink"/>
            <w:rFonts w:ascii="Open Sans" w:hAnsi="Open Sans" w:cs="Open Sans"/>
            <w:sz w:val="21"/>
            <w:szCs w:val="21"/>
            <w:lang w:val="en"/>
          </w:rPr>
          <w:t>https://www.legislation.gov.uk/ukpga/1978/30/section/21</w:t>
        </w:r>
      </w:hyperlink>
    </w:p>
  </w:endnote>
  <w:endnote w:id="4">
    <w:p w14:paraId="222BF62F" w14:textId="5D03D65E" w:rsidR="008273E8" w:rsidRPr="00870F92" w:rsidRDefault="008273E8">
      <w:pPr>
        <w:pStyle w:val="EndnoteText"/>
        <w:rPr>
          <w:rFonts w:ascii="Open Sans" w:hAnsi="Open Sans" w:cs="Open Sans"/>
          <w:sz w:val="21"/>
          <w:szCs w:val="21"/>
        </w:rPr>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w:t>
      </w:r>
      <w:hyperlink r:id="rId3" w:anchor=":~:text=1%3A%20Application.%20Save%20when%20and%20to%20the%20extent,your%20personal%20integrity%20is%20beyond%20question.%20B1.3%3A%20Independence" w:history="1">
        <w:r w:rsidRPr="00870F92">
          <w:rPr>
            <w:rStyle w:val="Hyperlink"/>
            <w:rFonts w:ascii="Open Sans" w:hAnsi="Open Sans" w:cs="Open Sans"/>
            <w:sz w:val="21"/>
            <w:szCs w:val="21"/>
          </w:rPr>
          <w:t>https://www.lawscot.org.uk/members/rules-and-guidance/rules-and-guidance/section-b/rule-b1/#:~:text=1%3A%20Application.%20Save%20when%20and%20to%20the%20extent,your%20personal%20integrity%20is%20beyond%20question.%20B1.3%3A%20Independence</w:t>
        </w:r>
      </w:hyperlink>
    </w:p>
  </w:endnote>
  <w:endnote w:id="5">
    <w:p w14:paraId="3A702234" w14:textId="1653AAB3" w:rsidR="00870F92" w:rsidRPr="00870F92" w:rsidRDefault="00870F92">
      <w:pPr>
        <w:pStyle w:val="EndnoteText"/>
        <w:rPr>
          <w:rFonts w:ascii="Open Sans" w:hAnsi="Open Sans" w:cs="Open Sans"/>
          <w:sz w:val="21"/>
          <w:szCs w:val="21"/>
        </w:rPr>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Amendment 46, section 13A</w:t>
      </w:r>
    </w:p>
  </w:endnote>
  <w:endnote w:id="6">
    <w:p w14:paraId="3A54F355" w14:textId="74122AF5" w:rsidR="00B173DA" w:rsidRPr="00870F92" w:rsidRDefault="00B173DA">
      <w:pPr>
        <w:pStyle w:val="EndnoteText"/>
        <w:rPr>
          <w:rFonts w:ascii="Open Sans" w:hAnsi="Open Sans" w:cs="Open Sans"/>
          <w:sz w:val="21"/>
          <w:szCs w:val="21"/>
        </w:rPr>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Amendments 8, 12-16 and 31</w:t>
      </w:r>
    </w:p>
  </w:endnote>
  <w:endnote w:id="7">
    <w:p w14:paraId="4BCF8003" w14:textId="5E61FC6E" w:rsidR="00ED66F7" w:rsidRPr="00870F92" w:rsidRDefault="00ED66F7">
      <w:pPr>
        <w:pStyle w:val="EndnoteText"/>
        <w:rPr>
          <w:rFonts w:ascii="Open Sans" w:hAnsi="Open Sans" w:cs="Open Sans"/>
          <w:sz w:val="21"/>
          <w:szCs w:val="21"/>
        </w:rPr>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Elaine E Sutherland, ‘Listening to the Voice of the Child: The Evolution of Participation Rights’ (2013) 26 </w:t>
      </w:r>
      <w:r w:rsidRPr="00870F92">
        <w:rPr>
          <w:rFonts w:ascii="Open Sans" w:hAnsi="Open Sans" w:cs="Open Sans"/>
          <w:i/>
          <w:sz w:val="21"/>
          <w:szCs w:val="21"/>
        </w:rPr>
        <w:t>New Zealand Law Review</w:t>
      </w:r>
      <w:r w:rsidRPr="00870F92">
        <w:rPr>
          <w:rFonts w:ascii="Open Sans" w:hAnsi="Open Sans" w:cs="Open Sans"/>
          <w:sz w:val="21"/>
          <w:szCs w:val="21"/>
        </w:rPr>
        <w:t xml:space="preserve"> 335, 344-345)</w:t>
      </w:r>
    </w:p>
  </w:endnote>
  <w:endnote w:id="8">
    <w:p w14:paraId="352C075C" w14:textId="3E7042A0" w:rsidR="00EB7B1B" w:rsidRPr="00870F92" w:rsidRDefault="00EB7B1B">
      <w:pPr>
        <w:pStyle w:val="EndnoteText"/>
        <w:rPr>
          <w:rFonts w:ascii="Open Sans" w:hAnsi="Open Sans" w:cs="Open Sans"/>
          <w:sz w:val="21"/>
          <w:szCs w:val="21"/>
        </w:rPr>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[2018] CSIH 72</w:t>
      </w:r>
    </w:p>
  </w:endnote>
  <w:endnote w:id="9">
    <w:p w14:paraId="169F887E" w14:textId="2523BEEE" w:rsidR="00355EAD" w:rsidRPr="00870F92" w:rsidRDefault="00355EAD">
      <w:pPr>
        <w:pStyle w:val="EndnoteText"/>
        <w:rPr>
          <w:rFonts w:ascii="Open Sans" w:hAnsi="Open Sans" w:cs="Open Sans"/>
          <w:sz w:val="21"/>
          <w:szCs w:val="21"/>
        </w:rPr>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Amendment 34,</w:t>
      </w:r>
      <w:r w:rsidR="00EA3A49" w:rsidRPr="00870F92">
        <w:rPr>
          <w:rFonts w:ascii="Open Sans" w:hAnsi="Open Sans" w:cs="Open Sans"/>
          <w:sz w:val="21"/>
          <w:szCs w:val="21"/>
        </w:rPr>
        <w:t xml:space="preserve"> </w:t>
      </w:r>
      <w:r w:rsidRPr="00870F92">
        <w:rPr>
          <w:rFonts w:ascii="Open Sans" w:hAnsi="Open Sans" w:cs="Open Sans"/>
          <w:sz w:val="21"/>
          <w:szCs w:val="21"/>
        </w:rPr>
        <w:t>before section 17</w:t>
      </w:r>
    </w:p>
  </w:endnote>
  <w:endnote w:id="10">
    <w:p w14:paraId="3F5B7A72" w14:textId="2B7084DD" w:rsidR="00EA3A49" w:rsidRPr="00870F92" w:rsidRDefault="00EA3A49">
      <w:pPr>
        <w:pStyle w:val="EndnoteText"/>
        <w:rPr>
          <w:rFonts w:ascii="Open Sans" w:hAnsi="Open Sans" w:cs="Open Sans"/>
          <w:sz w:val="21"/>
          <w:szCs w:val="21"/>
        </w:rPr>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Amendment 31, after section 16</w:t>
      </w:r>
    </w:p>
  </w:endnote>
  <w:endnote w:id="11">
    <w:p w14:paraId="5E4B7D7C" w14:textId="7BB2DF12" w:rsidR="008C7D72" w:rsidRPr="00870F92" w:rsidRDefault="008C7D72" w:rsidP="008C7D72">
      <w:pPr>
        <w:rPr>
          <w:rFonts w:ascii="Open Sans" w:hAnsi="Open Sans" w:cs="Open Sans"/>
          <w:sz w:val="21"/>
          <w:szCs w:val="21"/>
        </w:rPr>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w:t>
      </w:r>
      <w:r w:rsidRPr="00ED66F7">
        <w:rPr>
          <w:rFonts w:ascii="Open Sans" w:hAnsi="Open Sans" w:cs="Open Sans"/>
          <w:sz w:val="21"/>
          <w:szCs w:val="21"/>
        </w:rPr>
        <w:t xml:space="preserve">Justice Committee, </w:t>
      </w:r>
      <w:r w:rsidRPr="00ED66F7">
        <w:rPr>
          <w:rFonts w:ascii="Open Sans" w:hAnsi="Open Sans" w:cs="Open Sans"/>
          <w:i/>
          <w:sz w:val="21"/>
          <w:szCs w:val="21"/>
        </w:rPr>
        <w:t>I won’t see you in court: alternative dispute resolution in Scotland</w:t>
      </w:r>
      <w:r w:rsidRPr="00ED66F7">
        <w:rPr>
          <w:rFonts w:ascii="Open Sans" w:hAnsi="Open Sans" w:cs="Open Sans"/>
          <w:sz w:val="21"/>
          <w:szCs w:val="21"/>
        </w:rPr>
        <w:t>, SP Paper 381, 9th Report, 2018</w:t>
      </w:r>
    </w:p>
  </w:endnote>
  <w:endnote w:id="12">
    <w:p w14:paraId="4B623728" w14:textId="3A7027C7" w:rsidR="008C7D72" w:rsidRDefault="008C7D72">
      <w:pPr>
        <w:pStyle w:val="EndnoteText"/>
      </w:pPr>
      <w:r w:rsidRPr="00870F92">
        <w:rPr>
          <w:rStyle w:val="EndnoteReference"/>
          <w:rFonts w:ascii="Open Sans" w:hAnsi="Open Sans" w:cs="Open Sans"/>
          <w:sz w:val="21"/>
          <w:szCs w:val="21"/>
        </w:rPr>
        <w:endnoteRef/>
      </w:r>
      <w:r w:rsidRPr="00870F92">
        <w:rPr>
          <w:rFonts w:ascii="Open Sans" w:hAnsi="Open Sans" w:cs="Open Sans"/>
          <w:sz w:val="21"/>
          <w:szCs w:val="21"/>
        </w:rPr>
        <w:t xml:space="preserve"> </w:t>
      </w:r>
      <w:r w:rsidRPr="00ED66F7">
        <w:rPr>
          <w:rFonts w:ascii="Open Sans" w:hAnsi="Open Sans" w:cs="Open Sans"/>
          <w:sz w:val="21"/>
          <w:szCs w:val="21"/>
        </w:rPr>
        <w:t>A. Moore and S. Brookes, “MIAMs: a worthy idea, failing in delivery” 2018 Private Client Business 32.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B66B5" w14:textId="1200818A" w:rsidR="00BC0A4B" w:rsidRPr="00927F7C" w:rsidRDefault="00BC0A4B">
    <w:pPr>
      <w:pStyle w:val="Footer"/>
      <w:rPr>
        <w:rFonts w:asciiTheme="minorHAnsi" w:hAnsiTheme="minorHAnsi" w:cstheme="minorHAnsi"/>
        <w:szCs w:val="20"/>
      </w:rPr>
    </w:pPr>
    <w:r w:rsidRPr="00927F7C">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2D3A730E" wp14:editId="485A0D06">
              <wp:simplePos x="0" y="0"/>
              <wp:positionH relativeFrom="column">
                <wp:posOffset>-9525</wp:posOffset>
              </wp:positionH>
              <wp:positionV relativeFrom="paragraph">
                <wp:posOffset>-50517</wp:posOffset>
              </wp:positionV>
              <wp:extent cx="6702358" cy="0"/>
              <wp:effectExtent l="0" t="12700" r="16510" b="12700"/>
              <wp:wrapNone/>
              <wp:docPr id="26" name="Straight Connector 26"/>
              <wp:cNvGraphicFramePr/>
              <a:graphic xmlns:a="http://schemas.openxmlformats.org/drawingml/2006/main">
                <a:graphicData uri="http://schemas.microsoft.com/office/word/2010/wordprocessingShape">
                  <wps:wsp>
                    <wps:cNvCnPr/>
                    <wps:spPr>
                      <a:xfrm>
                        <a:off x="0" y="0"/>
                        <a:ext cx="6702358" cy="0"/>
                      </a:xfrm>
                      <a:prstGeom prst="line">
                        <a:avLst/>
                      </a:prstGeom>
                      <a:ln w="19050">
                        <a:solidFill>
                          <a:srgbClr val="04244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4E253" id="Straight Connector 2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4pt" to="52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" strokecolor="#042445" strokeweight="1.5pt">
              <v:stroke joinstyle="miter"/>
            </v:line>
          </w:pict>
        </mc:Fallback>
      </mc:AlternateContent>
    </w:r>
    <w:r w:rsidRPr="00927F7C">
      <w:rPr>
        <w:rFonts w:asciiTheme="minorHAnsi" w:hAnsiTheme="minorHAnsi" w:cstheme="minorHAnsi"/>
        <w:szCs w:val="20"/>
      </w:rPr>
      <w:t>Andrew Alexander, Head of Policy | Tel: 0131 226 8886 | Email: andrewalexander@lawscot.org.uk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ECFD5" w14:textId="77777777" w:rsidR="00B4581B" w:rsidRDefault="00B4581B" w:rsidP="00AA39FA">
      <w:r>
        <w:separator/>
      </w:r>
    </w:p>
  </w:footnote>
  <w:footnote w:type="continuationSeparator" w:id="0">
    <w:p w14:paraId="26C5511F" w14:textId="77777777" w:rsidR="00B4581B" w:rsidRDefault="00B4581B" w:rsidP="00AA3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761CB" w14:textId="5E8BAD17" w:rsidR="00BC0A4B" w:rsidRDefault="00BC0A4B">
    <w:pPr>
      <w:pStyle w:val="Header"/>
    </w:pPr>
    <w:r>
      <w:rPr>
        <w:noProof/>
      </w:rPr>
      <w:drawing>
        <wp:anchor distT="0" distB="0" distL="114300" distR="114300" simplePos="0" relativeHeight="251659264" behindDoc="0" locked="0" layoutInCell="1" allowOverlap="1" wp14:anchorId="13955937" wp14:editId="5A278DCA">
          <wp:simplePos x="0" y="0"/>
          <wp:positionH relativeFrom="column">
            <wp:posOffset>3810</wp:posOffset>
          </wp:positionH>
          <wp:positionV relativeFrom="paragraph">
            <wp:posOffset>-877861</wp:posOffset>
          </wp:positionV>
          <wp:extent cx="2059459" cy="8271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wsociaetylogo.jpg"/>
                  <pic:cNvPicPr/>
                </pic:nvPicPr>
                <pic:blipFill>
                  <a:blip r:embed="rId1">
                    <a:extLst>
                      <a:ext uri="{28A0092B-C50C-407E-A947-70E740481C1C}">
                        <a14:useLocalDpi xmlns:a14="http://schemas.microsoft.com/office/drawing/2010/main" val="0"/>
                      </a:ext>
                    </a:extLst>
                  </a:blip>
                  <a:stretch>
                    <a:fillRect/>
                  </a:stretch>
                </pic:blipFill>
                <pic:spPr>
                  <a:xfrm>
                    <a:off x="0" y="0"/>
                    <a:ext cx="2059459" cy="8271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FC1AD1E" wp14:editId="6B662AE2">
          <wp:simplePos x="0" y="0"/>
          <wp:positionH relativeFrom="column">
            <wp:posOffset>-502285</wp:posOffset>
          </wp:positionH>
          <wp:positionV relativeFrom="paragraph">
            <wp:posOffset>-1271647</wp:posOffset>
          </wp:positionV>
          <wp:extent cx="7622540" cy="23628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jpg"/>
                  <pic:cNvPicPr/>
                </pic:nvPicPr>
                <pic:blipFill>
                  <a:blip r:embed="rId2">
                    <a:extLst>
                      <a:ext uri="{28A0092B-C50C-407E-A947-70E740481C1C}">
                        <a14:useLocalDpi xmlns:a14="http://schemas.microsoft.com/office/drawing/2010/main" val="0"/>
                      </a:ext>
                    </a:extLst>
                  </a:blip>
                  <a:stretch>
                    <a:fillRect/>
                  </a:stretch>
                </pic:blipFill>
                <pic:spPr>
                  <a:xfrm>
                    <a:off x="0" y="0"/>
                    <a:ext cx="7622540" cy="23628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A6CCC"/>
    <w:multiLevelType w:val="hybridMultilevel"/>
    <w:tmpl w:val="3BCA1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8C200C"/>
    <w:multiLevelType w:val="hybridMultilevel"/>
    <w:tmpl w:val="2CECA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4D7ECA"/>
    <w:multiLevelType w:val="hybridMultilevel"/>
    <w:tmpl w:val="D6180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2704AD"/>
    <w:multiLevelType w:val="hybridMultilevel"/>
    <w:tmpl w:val="25D0F31E"/>
    <w:lvl w:ilvl="0" w:tplc="53149578">
      <w:start w:val="1"/>
      <w:numFmt w:val="bullet"/>
      <w:pStyle w:val="Body-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255D8"/>
    <w:multiLevelType w:val="hybridMultilevel"/>
    <w:tmpl w:val="28861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E61B3"/>
    <w:multiLevelType w:val="hybridMultilevel"/>
    <w:tmpl w:val="AEDE1D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332109"/>
    <w:multiLevelType w:val="hybridMultilevel"/>
    <w:tmpl w:val="3BCA2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3067E"/>
    <w:multiLevelType w:val="hybridMultilevel"/>
    <w:tmpl w:val="69902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454732"/>
    <w:multiLevelType w:val="hybridMultilevel"/>
    <w:tmpl w:val="34062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BC53A4"/>
    <w:multiLevelType w:val="hybridMultilevel"/>
    <w:tmpl w:val="F662B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6224E2"/>
    <w:multiLevelType w:val="hybridMultilevel"/>
    <w:tmpl w:val="5F362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4F0A06"/>
    <w:multiLevelType w:val="hybridMultilevel"/>
    <w:tmpl w:val="969C7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FFA1733"/>
    <w:multiLevelType w:val="hybridMultilevel"/>
    <w:tmpl w:val="7326F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9E3DDF"/>
    <w:multiLevelType w:val="hybridMultilevel"/>
    <w:tmpl w:val="BBB24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2B7AA4"/>
    <w:multiLevelType w:val="hybridMultilevel"/>
    <w:tmpl w:val="68063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7334526"/>
    <w:multiLevelType w:val="hybridMultilevel"/>
    <w:tmpl w:val="F7982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381CFF"/>
    <w:multiLevelType w:val="hybridMultilevel"/>
    <w:tmpl w:val="3FF63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D991EE5"/>
    <w:multiLevelType w:val="hybridMultilevel"/>
    <w:tmpl w:val="B8D07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1763DFD"/>
    <w:multiLevelType w:val="hybridMultilevel"/>
    <w:tmpl w:val="9162E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654A0C"/>
    <w:multiLevelType w:val="hybridMultilevel"/>
    <w:tmpl w:val="D78CD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590A1B"/>
    <w:multiLevelType w:val="hybridMultilevel"/>
    <w:tmpl w:val="A9EC5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6934762"/>
    <w:multiLevelType w:val="hybridMultilevel"/>
    <w:tmpl w:val="64323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7857318"/>
    <w:multiLevelType w:val="hybridMultilevel"/>
    <w:tmpl w:val="83D4C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936074"/>
    <w:multiLevelType w:val="hybridMultilevel"/>
    <w:tmpl w:val="FCC48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AA7537"/>
    <w:multiLevelType w:val="hybridMultilevel"/>
    <w:tmpl w:val="0D84FE1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8"/>
  </w:num>
  <w:num w:numId="4">
    <w:abstractNumId w:val="17"/>
  </w:num>
  <w:num w:numId="5">
    <w:abstractNumId w:val="2"/>
  </w:num>
  <w:num w:numId="6">
    <w:abstractNumId w:val="7"/>
  </w:num>
  <w:num w:numId="7">
    <w:abstractNumId w:val="15"/>
  </w:num>
  <w:num w:numId="8">
    <w:abstractNumId w:val="13"/>
  </w:num>
  <w:num w:numId="9">
    <w:abstractNumId w:val="11"/>
  </w:num>
  <w:num w:numId="10">
    <w:abstractNumId w:val="20"/>
  </w:num>
  <w:num w:numId="11">
    <w:abstractNumId w:val="19"/>
  </w:num>
  <w:num w:numId="12">
    <w:abstractNumId w:val="1"/>
  </w:num>
  <w:num w:numId="13">
    <w:abstractNumId w:val="9"/>
  </w:num>
  <w:num w:numId="14">
    <w:abstractNumId w:val="23"/>
  </w:num>
  <w:num w:numId="15">
    <w:abstractNumId w:val="16"/>
  </w:num>
  <w:num w:numId="16">
    <w:abstractNumId w:val="0"/>
  </w:num>
  <w:num w:numId="17">
    <w:abstractNumId w:val="21"/>
  </w:num>
  <w:num w:numId="18">
    <w:abstractNumId w:val="22"/>
  </w:num>
  <w:num w:numId="19">
    <w:abstractNumId w:val="5"/>
  </w:num>
  <w:num w:numId="20">
    <w:abstractNumId w:val="8"/>
  </w:num>
  <w:num w:numId="21">
    <w:abstractNumId w:val="14"/>
  </w:num>
  <w:num w:numId="22">
    <w:abstractNumId w:val="12"/>
  </w:num>
  <w:num w:numId="23">
    <w:abstractNumId w:val="6"/>
  </w:num>
  <w:num w:numId="24">
    <w:abstractNumId w:val="24"/>
  </w:num>
  <w:num w:numId="2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9FA"/>
    <w:rsid w:val="0002160D"/>
    <w:rsid w:val="00033B72"/>
    <w:rsid w:val="0003578C"/>
    <w:rsid w:val="000515FA"/>
    <w:rsid w:val="00091DB1"/>
    <w:rsid w:val="00093D26"/>
    <w:rsid w:val="00121EF9"/>
    <w:rsid w:val="00132E69"/>
    <w:rsid w:val="001516EB"/>
    <w:rsid w:val="00181B35"/>
    <w:rsid w:val="001A3CD4"/>
    <w:rsid w:val="001A66C7"/>
    <w:rsid w:val="001D5EAE"/>
    <w:rsid w:val="001E2B3B"/>
    <w:rsid w:val="001E7D9C"/>
    <w:rsid w:val="001F0003"/>
    <w:rsid w:val="00212CAC"/>
    <w:rsid w:val="002147B9"/>
    <w:rsid w:val="00237938"/>
    <w:rsid w:val="00250235"/>
    <w:rsid w:val="00260F63"/>
    <w:rsid w:val="002F5A0C"/>
    <w:rsid w:val="00307F97"/>
    <w:rsid w:val="00313938"/>
    <w:rsid w:val="0031783C"/>
    <w:rsid w:val="003326BF"/>
    <w:rsid w:val="003358AF"/>
    <w:rsid w:val="00355EAD"/>
    <w:rsid w:val="00384E69"/>
    <w:rsid w:val="003C3A13"/>
    <w:rsid w:val="003C63E0"/>
    <w:rsid w:val="003E362C"/>
    <w:rsid w:val="004233B9"/>
    <w:rsid w:val="004335DF"/>
    <w:rsid w:val="00443E00"/>
    <w:rsid w:val="0044405D"/>
    <w:rsid w:val="00476B6A"/>
    <w:rsid w:val="00481D7E"/>
    <w:rsid w:val="005026FB"/>
    <w:rsid w:val="00505A3C"/>
    <w:rsid w:val="00511D96"/>
    <w:rsid w:val="0052022D"/>
    <w:rsid w:val="005612E7"/>
    <w:rsid w:val="00572C7C"/>
    <w:rsid w:val="00574091"/>
    <w:rsid w:val="005862DA"/>
    <w:rsid w:val="00594579"/>
    <w:rsid w:val="005B7835"/>
    <w:rsid w:val="005D1C3A"/>
    <w:rsid w:val="005D2CF6"/>
    <w:rsid w:val="005D3EE5"/>
    <w:rsid w:val="005D712A"/>
    <w:rsid w:val="005F7158"/>
    <w:rsid w:val="006053D5"/>
    <w:rsid w:val="006270A2"/>
    <w:rsid w:val="00642FBF"/>
    <w:rsid w:val="00644BF2"/>
    <w:rsid w:val="0065134A"/>
    <w:rsid w:val="00652D6F"/>
    <w:rsid w:val="006744EA"/>
    <w:rsid w:val="0068292E"/>
    <w:rsid w:val="006A7479"/>
    <w:rsid w:val="006C5C63"/>
    <w:rsid w:val="006D57E5"/>
    <w:rsid w:val="006F5F45"/>
    <w:rsid w:val="00725309"/>
    <w:rsid w:val="00751E22"/>
    <w:rsid w:val="00752244"/>
    <w:rsid w:val="007523B4"/>
    <w:rsid w:val="00763112"/>
    <w:rsid w:val="007727BD"/>
    <w:rsid w:val="0077776B"/>
    <w:rsid w:val="007815F6"/>
    <w:rsid w:val="007A59AE"/>
    <w:rsid w:val="007D65C4"/>
    <w:rsid w:val="007E3117"/>
    <w:rsid w:val="007F6B53"/>
    <w:rsid w:val="00802CDE"/>
    <w:rsid w:val="0080461E"/>
    <w:rsid w:val="008255FF"/>
    <w:rsid w:val="00826BE1"/>
    <w:rsid w:val="008273E8"/>
    <w:rsid w:val="00841E5E"/>
    <w:rsid w:val="0085739B"/>
    <w:rsid w:val="00870F92"/>
    <w:rsid w:val="00880383"/>
    <w:rsid w:val="008953FD"/>
    <w:rsid w:val="008A3883"/>
    <w:rsid w:val="008A5774"/>
    <w:rsid w:val="008C7D72"/>
    <w:rsid w:val="008D2D55"/>
    <w:rsid w:val="00900D80"/>
    <w:rsid w:val="00927F7C"/>
    <w:rsid w:val="00962D43"/>
    <w:rsid w:val="0097086F"/>
    <w:rsid w:val="009A0B0D"/>
    <w:rsid w:val="009B5F3A"/>
    <w:rsid w:val="009C040D"/>
    <w:rsid w:val="009C4962"/>
    <w:rsid w:val="00A22887"/>
    <w:rsid w:val="00A277C7"/>
    <w:rsid w:val="00A60BDD"/>
    <w:rsid w:val="00A651BC"/>
    <w:rsid w:val="00A72AEC"/>
    <w:rsid w:val="00AA39FA"/>
    <w:rsid w:val="00AE4B8F"/>
    <w:rsid w:val="00B03E3D"/>
    <w:rsid w:val="00B0485D"/>
    <w:rsid w:val="00B173DA"/>
    <w:rsid w:val="00B4581B"/>
    <w:rsid w:val="00BA1F4C"/>
    <w:rsid w:val="00BA2D0C"/>
    <w:rsid w:val="00BB5DD9"/>
    <w:rsid w:val="00BC0A4B"/>
    <w:rsid w:val="00BC3F56"/>
    <w:rsid w:val="00BE0789"/>
    <w:rsid w:val="00C03984"/>
    <w:rsid w:val="00C06F7D"/>
    <w:rsid w:val="00C269C5"/>
    <w:rsid w:val="00C271AD"/>
    <w:rsid w:val="00C276BA"/>
    <w:rsid w:val="00C467DD"/>
    <w:rsid w:val="00C52BB7"/>
    <w:rsid w:val="00C747EF"/>
    <w:rsid w:val="00CC1282"/>
    <w:rsid w:val="00CE1349"/>
    <w:rsid w:val="00CE2F3C"/>
    <w:rsid w:val="00D04F13"/>
    <w:rsid w:val="00D25641"/>
    <w:rsid w:val="00D41213"/>
    <w:rsid w:val="00D465B5"/>
    <w:rsid w:val="00D47179"/>
    <w:rsid w:val="00D6600E"/>
    <w:rsid w:val="00D70AFA"/>
    <w:rsid w:val="00D81922"/>
    <w:rsid w:val="00D92D23"/>
    <w:rsid w:val="00DD742A"/>
    <w:rsid w:val="00E00A6C"/>
    <w:rsid w:val="00E37019"/>
    <w:rsid w:val="00E45E51"/>
    <w:rsid w:val="00E55546"/>
    <w:rsid w:val="00E56513"/>
    <w:rsid w:val="00E65C8A"/>
    <w:rsid w:val="00E863AC"/>
    <w:rsid w:val="00E909E4"/>
    <w:rsid w:val="00E93BC2"/>
    <w:rsid w:val="00EA3A49"/>
    <w:rsid w:val="00EB7B1B"/>
    <w:rsid w:val="00ED66F7"/>
    <w:rsid w:val="00EE7BDF"/>
    <w:rsid w:val="00F22C2F"/>
    <w:rsid w:val="00F93964"/>
    <w:rsid w:val="00FB2A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1938A3"/>
  <w14:defaultImageDpi w14:val="32767"/>
  <w15:chartTrackingRefBased/>
  <w15:docId w15:val="{E4E48E3D-69E1-4C48-97A0-F1ED43147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9FA"/>
    <w:pPr>
      <w:tabs>
        <w:tab w:val="center" w:pos="4680"/>
        <w:tab w:val="right" w:pos="9360"/>
      </w:tabs>
    </w:pPr>
  </w:style>
  <w:style w:type="character" w:customStyle="1" w:styleId="HeaderChar">
    <w:name w:val="Header Char"/>
    <w:basedOn w:val="DefaultParagraphFont"/>
    <w:link w:val="Header"/>
    <w:uiPriority w:val="99"/>
    <w:rsid w:val="00AA39FA"/>
  </w:style>
  <w:style w:type="paragraph" w:styleId="Footer">
    <w:name w:val="footer"/>
    <w:basedOn w:val="Normal"/>
    <w:link w:val="FooterChar"/>
    <w:uiPriority w:val="99"/>
    <w:unhideWhenUsed/>
    <w:qFormat/>
    <w:rsid w:val="001E7D9C"/>
    <w:pPr>
      <w:tabs>
        <w:tab w:val="center" w:pos="4680"/>
        <w:tab w:val="right" w:pos="9360"/>
      </w:tabs>
    </w:pPr>
    <w:rPr>
      <w:rFonts w:ascii="Open Sans" w:hAnsi="Open Sans"/>
      <w:sz w:val="20"/>
    </w:rPr>
  </w:style>
  <w:style w:type="character" w:customStyle="1" w:styleId="FooterChar">
    <w:name w:val="Footer Char"/>
    <w:basedOn w:val="DefaultParagraphFont"/>
    <w:link w:val="Footer"/>
    <w:uiPriority w:val="99"/>
    <w:rsid w:val="001E7D9C"/>
    <w:rPr>
      <w:rFonts w:ascii="Open Sans" w:hAnsi="Open Sans"/>
      <w:sz w:val="20"/>
    </w:rPr>
  </w:style>
  <w:style w:type="paragraph" w:styleId="NormalWeb">
    <w:name w:val="Normal (Web)"/>
    <w:basedOn w:val="Normal"/>
    <w:uiPriority w:val="99"/>
    <w:unhideWhenUsed/>
    <w:rsid w:val="00962D43"/>
    <w:pPr>
      <w:spacing w:before="100" w:beforeAutospacing="1" w:after="100" w:afterAutospacing="1"/>
    </w:pPr>
    <w:rPr>
      <w:rFonts w:ascii="Times New Roman" w:eastAsia="Times New Roman" w:hAnsi="Times New Roman" w:cs="Times New Roman"/>
    </w:rPr>
  </w:style>
  <w:style w:type="paragraph" w:styleId="NoSpacing">
    <w:name w:val="No Spacing"/>
    <w:uiPriority w:val="1"/>
    <w:rsid w:val="001F0003"/>
  </w:style>
  <w:style w:type="paragraph" w:customStyle="1" w:styleId="MainTitle">
    <w:name w:val="Main Title"/>
    <w:basedOn w:val="Normal"/>
    <w:next w:val="Normal"/>
    <w:qFormat/>
    <w:rsid w:val="005D712A"/>
    <w:rPr>
      <w:rFonts w:ascii="Open Sans" w:hAnsi="Open Sans" w:cs="Open Sans"/>
      <w:b/>
      <w:sz w:val="44"/>
      <w:szCs w:val="32"/>
    </w:rPr>
  </w:style>
  <w:style w:type="paragraph" w:customStyle="1" w:styleId="Sub-title">
    <w:name w:val="Sub-title"/>
    <w:basedOn w:val="Normal"/>
    <w:next w:val="Normal"/>
    <w:qFormat/>
    <w:rsid w:val="005D712A"/>
    <w:rPr>
      <w:rFonts w:ascii="Open Sans" w:hAnsi="Open Sans" w:cs="Open Sans"/>
      <w:sz w:val="32"/>
      <w:szCs w:val="32"/>
    </w:rPr>
  </w:style>
  <w:style w:type="paragraph" w:customStyle="1" w:styleId="Body">
    <w:name w:val="Body"/>
    <w:basedOn w:val="NormalWeb"/>
    <w:next w:val="Normal"/>
    <w:qFormat/>
    <w:rsid w:val="006F5F45"/>
    <w:pPr>
      <w:shd w:val="clear" w:color="auto" w:fill="FFFFFF"/>
      <w:spacing w:before="0" w:beforeAutospacing="0" w:after="225" w:afterAutospacing="0"/>
    </w:pPr>
    <w:rPr>
      <w:rFonts w:ascii="Open Sans" w:hAnsi="Open Sans" w:cs="Open Sans"/>
      <w:color w:val="000000"/>
      <w:sz w:val="21"/>
      <w:szCs w:val="21"/>
    </w:rPr>
  </w:style>
  <w:style w:type="paragraph" w:customStyle="1" w:styleId="Heading">
    <w:name w:val="Heading"/>
    <w:basedOn w:val="Normal"/>
    <w:next w:val="Normal"/>
    <w:qFormat/>
    <w:rsid w:val="005D712A"/>
    <w:rPr>
      <w:rFonts w:ascii="Open Sans" w:hAnsi="Open Sans" w:cs="Open Sans"/>
      <w:b/>
      <w:sz w:val="28"/>
      <w:szCs w:val="28"/>
    </w:rPr>
  </w:style>
  <w:style w:type="paragraph" w:styleId="ListParagraph">
    <w:name w:val="List Paragraph"/>
    <w:basedOn w:val="Normal"/>
    <w:uiPriority w:val="34"/>
    <w:qFormat/>
    <w:rsid w:val="007523B4"/>
    <w:pPr>
      <w:ind w:left="720"/>
      <w:contextualSpacing/>
    </w:pPr>
  </w:style>
  <w:style w:type="paragraph" w:customStyle="1" w:styleId="Body-Bulleted">
    <w:name w:val="Body - Bulleted"/>
    <w:basedOn w:val="ListParagraph"/>
    <w:qFormat/>
    <w:rsid w:val="007523B4"/>
    <w:pPr>
      <w:numPr>
        <w:numId w:val="1"/>
      </w:numPr>
    </w:pPr>
    <w:rPr>
      <w:rFonts w:ascii="Open Sans" w:hAnsi="Open Sans"/>
      <w:sz w:val="21"/>
    </w:rPr>
  </w:style>
  <w:style w:type="paragraph" w:customStyle="1" w:styleId="3columnsmall">
    <w:name w:val="3 column small"/>
    <w:basedOn w:val="Normal"/>
    <w:qFormat/>
    <w:rsid w:val="006F5F45"/>
    <w:rPr>
      <w:rFonts w:ascii="Open Sans" w:hAnsi="Open Sans"/>
      <w:sz w:val="18"/>
    </w:rPr>
  </w:style>
  <w:style w:type="character" w:styleId="Hyperlink">
    <w:name w:val="Hyperlink"/>
    <w:basedOn w:val="DefaultParagraphFont"/>
    <w:uiPriority w:val="99"/>
    <w:unhideWhenUsed/>
    <w:rsid w:val="00C747EF"/>
    <w:rPr>
      <w:color w:val="0563C1" w:themeColor="hyperlink"/>
      <w:u w:val="single"/>
    </w:rPr>
  </w:style>
  <w:style w:type="character" w:styleId="UnresolvedMention">
    <w:name w:val="Unresolved Mention"/>
    <w:basedOn w:val="DefaultParagraphFont"/>
    <w:uiPriority w:val="99"/>
    <w:rsid w:val="00C747EF"/>
    <w:rPr>
      <w:color w:val="605E5C"/>
      <w:shd w:val="clear" w:color="auto" w:fill="E1DFDD"/>
    </w:rPr>
  </w:style>
  <w:style w:type="table" w:styleId="TableGrid">
    <w:name w:val="Table Grid"/>
    <w:basedOn w:val="TableNormal"/>
    <w:uiPriority w:val="39"/>
    <w:rsid w:val="00214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515FA"/>
    <w:rPr>
      <w:color w:val="954F72" w:themeColor="followedHyperlink"/>
      <w:u w:val="single"/>
    </w:rPr>
  </w:style>
  <w:style w:type="paragraph" w:customStyle="1" w:styleId="Default">
    <w:name w:val="Default"/>
    <w:rsid w:val="00594579"/>
    <w:pPr>
      <w:autoSpaceDE w:val="0"/>
      <w:autoSpaceDN w:val="0"/>
      <w:adjustRightInd w:val="0"/>
    </w:pPr>
    <w:rPr>
      <w:rFonts w:ascii="Arial" w:hAnsi="Arial" w:cs="Arial"/>
      <w:color w:val="000000"/>
    </w:rPr>
  </w:style>
  <w:style w:type="paragraph" w:styleId="FootnoteText">
    <w:name w:val="footnote text"/>
    <w:basedOn w:val="Normal"/>
    <w:link w:val="FootnoteTextChar"/>
    <w:uiPriority w:val="99"/>
    <w:semiHidden/>
    <w:unhideWhenUsed/>
    <w:rsid w:val="00E65C8A"/>
    <w:rPr>
      <w:sz w:val="20"/>
      <w:szCs w:val="20"/>
    </w:rPr>
  </w:style>
  <w:style w:type="character" w:customStyle="1" w:styleId="FootnoteTextChar">
    <w:name w:val="Footnote Text Char"/>
    <w:basedOn w:val="DefaultParagraphFont"/>
    <w:link w:val="FootnoteText"/>
    <w:uiPriority w:val="99"/>
    <w:semiHidden/>
    <w:rsid w:val="00E65C8A"/>
    <w:rPr>
      <w:sz w:val="20"/>
      <w:szCs w:val="20"/>
    </w:rPr>
  </w:style>
  <w:style w:type="character" w:styleId="FootnoteReference">
    <w:name w:val="footnote reference"/>
    <w:basedOn w:val="DefaultParagraphFont"/>
    <w:uiPriority w:val="99"/>
    <w:semiHidden/>
    <w:unhideWhenUsed/>
    <w:rsid w:val="00E65C8A"/>
    <w:rPr>
      <w:vertAlign w:val="superscript"/>
    </w:rPr>
  </w:style>
  <w:style w:type="paragraph" w:styleId="EndnoteText">
    <w:name w:val="endnote text"/>
    <w:basedOn w:val="Normal"/>
    <w:link w:val="EndnoteTextChar"/>
    <w:uiPriority w:val="99"/>
    <w:semiHidden/>
    <w:unhideWhenUsed/>
    <w:rsid w:val="00E65C8A"/>
    <w:rPr>
      <w:sz w:val="20"/>
      <w:szCs w:val="20"/>
    </w:rPr>
  </w:style>
  <w:style w:type="character" w:customStyle="1" w:styleId="EndnoteTextChar">
    <w:name w:val="Endnote Text Char"/>
    <w:basedOn w:val="DefaultParagraphFont"/>
    <w:link w:val="EndnoteText"/>
    <w:uiPriority w:val="99"/>
    <w:semiHidden/>
    <w:rsid w:val="00E65C8A"/>
    <w:rPr>
      <w:sz w:val="20"/>
      <w:szCs w:val="20"/>
    </w:rPr>
  </w:style>
  <w:style w:type="character" w:styleId="EndnoteReference">
    <w:name w:val="endnote reference"/>
    <w:basedOn w:val="DefaultParagraphFont"/>
    <w:uiPriority w:val="99"/>
    <w:semiHidden/>
    <w:unhideWhenUsed/>
    <w:rsid w:val="00E65C8A"/>
    <w:rPr>
      <w:vertAlign w:val="superscript"/>
    </w:rPr>
  </w:style>
  <w:style w:type="character" w:styleId="CommentReference">
    <w:name w:val="annotation reference"/>
    <w:basedOn w:val="DefaultParagraphFont"/>
    <w:uiPriority w:val="99"/>
    <w:semiHidden/>
    <w:unhideWhenUsed/>
    <w:rsid w:val="001516EB"/>
    <w:rPr>
      <w:sz w:val="16"/>
      <w:szCs w:val="16"/>
    </w:rPr>
  </w:style>
  <w:style w:type="paragraph" w:styleId="CommentText">
    <w:name w:val="annotation text"/>
    <w:basedOn w:val="Normal"/>
    <w:link w:val="CommentTextChar"/>
    <w:uiPriority w:val="99"/>
    <w:semiHidden/>
    <w:unhideWhenUsed/>
    <w:rsid w:val="001516EB"/>
    <w:rPr>
      <w:sz w:val="20"/>
      <w:szCs w:val="20"/>
    </w:rPr>
  </w:style>
  <w:style w:type="character" w:customStyle="1" w:styleId="CommentTextChar">
    <w:name w:val="Comment Text Char"/>
    <w:basedOn w:val="DefaultParagraphFont"/>
    <w:link w:val="CommentText"/>
    <w:uiPriority w:val="99"/>
    <w:semiHidden/>
    <w:rsid w:val="001516EB"/>
    <w:rPr>
      <w:sz w:val="20"/>
      <w:szCs w:val="20"/>
    </w:rPr>
  </w:style>
  <w:style w:type="paragraph" w:styleId="CommentSubject">
    <w:name w:val="annotation subject"/>
    <w:basedOn w:val="CommentText"/>
    <w:next w:val="CommentText"/>
    <w:link w:val="CommentSubjectChar"/>
    <w:uiPriority w:val="99"/>
    <w:semiHidden/>
    <w:unhideWhenUsed/>
    <w:rsid w:val="001516EB"/>
    <w:rPr>
      <w:b/>
      <w:bCs/>
    </w:rPr>
  </w:style>
  <w:style w:type="character" w:customStyle="1" w:styleId="CommentSubjectChar">
    <w:name w:val="Comment Subject Char"/>
    <w:basedOn w:val="CommentTextChar"/>
    <w:link w:val="CommentSubject"/>
    <w:uiPriority w:val="99"/>
    <w:semiHidden/>
    <w:rsid w:val="001516EB"/>
    <w:rPr>
      <w:b/>
      <w:bCs/>
      <w:sz w:val="20"/>
      <w:szCs w:val="20"/>
    </w:rPr>
  </w:style>
  <w:style w:type="paragraph" w:styleId="BalloonText">
    <w:name w:val="Balloon Text"/>
    <w:basedOn w:val="Normal"/>
    <w:link w:val="BalloonTextChar"/>
    <w:uiPriority w:val="99"/>
    <w:semiHidden/>
    <w:unhideWhenUsed/>
    <w:rsid w:val="001516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6EB"/>
    <w:rPr>
      <w:rFonts w:ascii="Segoe UI" w:hAnsi="Segoe UI" w:cs="Segoe UI"/>
      <w:sz w:val="18"/>
      <w:szCs w:val="18"/>
    </w:rPr>
  </w:style>
  <w:style w:type="paragraph" w:customStyle="1" w:styleId="xmsonormal">
    <w:name w:val="x_msonormal"/>
    <w:basedOn w:val="Normal"/>
    <w:rsid w:val="00EA3A49"/>
    <w:pPr>
      <w:spacing w:before="100" w:beforeAutospacing="1" w:after="100" w:afterAutospacing="1"/>
    </w:pPr>
    <w:rPr>
      <w:rFonts w:ascii="Calibri" w:hAnsi="Calibri" w:cs="Calibri"/>
      <w:sz w:val="22"/>
      <w:szCs w:val="22"/>
      <w:lang w:eastAsia="en-GB"/>
    </w:rPr>
  </w:style>
  <w:style w:type="paragraph" w:customStyle="1" w:styleId="xmsolistparagraph">
    <w:name w:val="x_msolistparagraph"/>
    <w:basedOn w:val="Normal"/>
    <w:rsid w:val="00EA3A49"/>
    <w:pPr>
      <w:spacing w:before="100" w:beforeAutospacing="1" w:after="100" w:afterAutospacing="1"/>
    </w:pPr>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3748">
      <w:bodyDiv w:val="1"/>
      <w:marLeft w:val="0"/>
      <w:marRight w:val="0"/>
      <w:marTop w:val="0"/>
      <w:marBottom w:val="0"/>
      <w:divBdr>
        <w:top w:val="none" w:sz="0" w:space="0" w:color="auto"/>
        <w:left w:val="none" w:sz="0" w:space="0" w:color="auto"/>
        <w:bottom w:val="none" w:sz="0" w:space="0" w:color="auto"/>
        <w:right w:val="none" w:sz="0" w:space="0" w:color="auto"/>
      </w:divBdr>
    </w:div>
    <w:div w:id="58792522">
      <w:bodyDiv w:val="1"/>
      <w:marLeft w:val="0"/>
      <w:marRight w:val="0"/>
      <w:marTop w:val="0"/>
      <w:marBottom w:val="0"/>
      <w:divBdr>
        <w:top w:val="none" w:sz="0" w:space="0" w:color="auto"/>
        <w:left w:val="none" w:sz="0" w:space="0" w:color="auto"/>
        <w:bottom w:val="none" w:sz="0" w:space="0" w:color="auto"/>
        <w:right w:val="none" w:sz="0" w:space="0" w:color="auto"/>
      </w:divBdr>
    </w:div>
    <w:div w:id="75128214">
      <w:bodyDiv w:val="1"/>
      <w:marLeft w:val="0"/>
      <w:marRight w:val="0"/>
      <w:marTop w:val="0"/>
      <w:marBottom w:val="0"/>
      <w:divBdr>
        <w:top w:val="none" w:sz="0" w:space="0" w:color="auto"/>
        <w:left w:val="none" w:sz="0" w:space="0" w:color="auto"/>
        <w:bottom w:val="none" w:sz="0" w:space="0" w:color="auto"/>
        <w:right w:val="none" w:sz="0" w:space="0" w:color="auto"/>
      </w:divBdr>
    </w:div>
    <w:div w:id="126357473">
      <w:bodyDiv w:val="1"/>
      <w:marLeft w:val="0"/>
      <w:marRight w:val="0"/>
      <w:marTop w:val="0"/>
      <w:marBottom w:val="0"/>
      <w:divBdr>
        <w:top w:val="none" w:sz="0" w:space="0" w:color="auto"/>
        <w:left w:val="none" w:sz="0" w:space="0" w:color="auto"/>
        <w:bottom w:val="none" w:sz="0" w:space="0" w:color="auto"/>
        <w:right w:val="none" w:sz="0" w:space="0" w:color="auto"/>
      </w:divBdr>
    </w:div>
    <w:div w:id="144124415">
      <w:bodyDiv w:val="1"/>
      <w:marLeft w:val="0"/>
      <w:marRight w:val="0"/>
      <w:marTop w:val="0"/>
      <w:marBottom w:val="0"/>
      <w:divBdr>
        <w:top w:val="none" w:sz="0" w:space="0" w:color="auto"/>
        <w:left w:val="none" w:sz="0" w:space="0" w:color="auto"/>
        <w:bottom w:val="none" w:sz="0" w:space="0" w:color="auto"/>
        <w:right w:val="none" w:sz="0" w:space="0" w:color="auto"/>
      </w:divBdr>
    </w:div>
    <w:div w:id="173306585">
      <w:bodyDiv w:val="1"/>
      <w:marLeft w:val="0"/>
      <w:marRight w:val="0"/>
      <w:marTop w:val="0"/>
      <w:marBottom w:val="0"/>
      <w:divBdr>
        <w:top w:val="none" w:sz="0" w:space="0" w:color="auto"/>
        <w:left w:val="none" w:sz="0" w:space="0" w:color="auto"/>
        <w:bottom w:val="none" w:sz="0" w:space="0" w:color="auto"/>
        <w:right w:val="none" w:sz="0" w:space="0" w:color="auto"/>
      </w:divBdr>
    </w:div>
    <w:div w:id="396901807">
      <w:bodyDiv w:val="1"/>
      <w:marLeft w:val="0"/>
      <w:marRight w:val="0"/>
      <w:marTop w:val="0"/>
      <w:marBottom w:val="0"/>
      <w:divBdr>
        <w:top w:val="none" w:sz="0" w:space="0" w:color="auto"/>
        <w:left w:val="none" w:sz="0" w:space="0" w:color="auto"/>
        <w:bottom w:val="none" w:sz="0" w:space="0" w:color="auto"/>
        <w:right w:val="none" w:sz="0" w:space="0" w:color="auto"/>
      </w:divBdr>
    </w:div>
    <w:div w:id="406197215">
      <w:bodyDiv w:val="1"/>
      <w:marLeft w:val="0"/>
      <w:marRight w:val="0"/>
      <w:marTop w:val="0"/>
      <w:marBottom w:val="0"/>
      <w:divBdr>
        <w:top w:val="none" w:sz="0" w:space="0" w:color="auto"/>
        <w:left w:val="none" w:sz="0" w:space="0" w:color="auto"/>
        <w:bottom w:val="none" w:sz="0" w:space="0" w:color="auto"/>
        <w:right w:val="none" w:sz="0" w:space="0" w:color="auto"/>
      </w:divBdr>
    </w:div>
    <w:div w:id="425541818">
      <w:bodyDiv w:val="1"/>
      <w:marLeft w:val="0"/>
      <w:marRight w:val="0"/>
      <w:marTop w:val="0"/>
      <w:marBottom w:val="0"/>
      <w:divBdr>
        <w:top w:val="none" w:sz="0" w:space="0" w:color="auto"/>
        <w:left w:val="none" w:sz="0" w:space="0" w:color="auto"/>
        <w:bottom w:val="none" w:sz="0" w:space="0" w:color="auto"/>
        <w:right w:val="none" w:sz="0" w:space="0" w:color="auto"/>
      </w:divBdr>
    </w:div>
    <w:div w:id="476607075">
      <w:bodyDiv w:val="1"/>
      <w:marLeft w:val="0"/>
      <w:marRight w:val="0"/>
      <w:marTop w:val="0"/>
      <w:marBottom w:val="0"/>
      <w:divBdr>
        <w:top w:val="none" w:sz="0" w:space="0" w:color="auto"/>
        <w:left w:val="none" w:sz="0" w:space="0" w:color="auto"/>
        <w:bottom w:val="none" w:sz="0" w:space="0" w:color="auto"/>
        <w:right w:val="none" w:sz="0" w:space="0" w:color="auto"/>
      </w:divBdr>
    </w:div>
    <w:div w:id="511342049">
      <w:bodyDiv w:val="1"/>
      <w:marLeft w:val="0"/>
      <w:marRight w:val="0"/>
      <w:marTop w:val="0"/>
      <w:marBottom w:val="0"/>
      <w:divBdr>
        <w:top w:val="none" w:sz="0" w:space="0" w:color="auto"/>
        <w:left w:val="none" w:sz="0" w:space="0" w:color="auto"/>
        <w:bottom w:val="none" w:sz="0" w:space="0" w:color="auto"/>
        <w:right w:val="none" w:sz="0" w:space="0" w:color="auto"/>
      </w:divBdr>
    </w:div>
    <w:div w:id="550121615">
      <w:bodyDiv w:val="1"/>
      <w:marLeft w:val="0"/>
      <w:marRight w:val="0"/>
      <w:marTop w:val="0"/>
      <w:marBottom w:val="0"/>
      <w:divBdr>
        <w:top w:val="none" w:sz="0" w:space="0" w:color="auto"/>
        <w:left w:val="none" w:sz="0" w:space="0" w:color="auto"/>
        <w:bottom w:val="none" w:sz="0" w:space="0" w:color="auto"/>
        <w:right w:val="none" w:sz="0" w:space="0" w:color="auto"/>
      </w:divBdr>
    </w:div>
    <w:div w:id="604073360">
      <w:bodyDiv w:val="1"/>
      <w:marLeft w:val="0"/>
      <w:marRight w:val="0"/>
      <w:marTop w:val="0"/>
      <w:marBottom w:val="0"/>
      <w:divBdr>
        <w:top w:val="none" w:sz="0" w:space="0" w:color="auto"/>
        <w:left w:val="none" w:sz="0" w:space="0" w:color="auto"/>
        <w:bottom w:val="none" w:sz="0" w:space="0" w:color="auto"/>
        <w:right w:val="none" w:sz="0" w:space="0" w:color="auto"/>
      </w:divBdr>
    </w:div>
    <w:div w:id="663581781">
      <w:bodyDiv w:val="1"/>
      <w:marLeft w:val="0"/>
      <w:marRight w:val="0"/>
      <w:marTop w:val="0"/>
      <w:marBottom w:val="0"/>
      <w:divBdr>
        <w:top w:val="none" w:sz="0" w:space="0" w:color="auto"/>
        <w:left w:val="none" w:sz="0" w:space="0" w:color="auto"/>
        <w:bottom w:val="none" w:sz="0" w:space="0" w:color="auto"/>
        <w:right w:val="none" w:sz="0" w:space="0" w:color="auto"/>
      </w:divBdr>
    </w:div>
    <w:div w:id="668405627">
      <w:bodyDiv w:val="1"/>
      <w:marLeft w:val="0"/>
      <w:marRight w:val="0"/>
      <w:marTop w:val="0"/>
      <w:marBottom w:val="0"/>
      <w:divBdr>
        <w:top w:val="none" w:sz="0" w:space="0" w:color="auto"/>
        <w:left w:val="none" w:sz="0" w:space="0" w:color="auto"/>
        <w:bottom w:val="none" w:sz="0" w:space="0" w:color="auto"/>
        <w:right w:val="none" w:sz="0" w:space="0" w:color="auto"/>
      </w:divBdr>
    </w:div>
    <w:div w:id="698357245">
      <w:bodyDiv w:val="1"/>
      <w:marLeft w:val="0"/>
      <w:marRight w:val="0"/>
      <w:marTop w:val="0"/>
      <w:marBottom w:val="0"/>
      <w:divBdr>
        <w:top w:val="none" w:sz="0" w:space="0" w:color="auto"/>
        <w:left w:val="none" w:sz="0" w:space="0" w:color="auto"/>
        <w:bottom w:val="none" w:sz="0" w:space="0" w:color="auto"/>
        <w:right w:val="none" w:sz="0" w:space="0" w:color="auto"/>
      </w:divBdr>
    </w:div>
    <w:div w:id="762339943">
      <w:bodyDiv w:val="1"/>
      <w:marLeft w:val="0"/>
      <w:marRight w:val="0"/>
      <w:marTop w:val="0"/>
      <w:marBottom w:val="0"/>
      <w:divBdr>
        <w:top w:val="none" w:sz="0" w:space="0" w:color="auto"/>
        <w:left w:val="none" w:sz="0" w:space="0" w:color="auto"/>
        <w:bottom w:val="none" w:sz="0" w:space="0" w:color="auto"/>
        <w:right w:val="none" w:sz="0" w:space="0" w:color="auto"/>
      </w:divBdr>
    </w:div>
    <w:div w:id="987247485">
      <w:bodyDiv w:val="1"/>
      <w:marLeft w:val="0"/>
      <w:marRight w:val="0"/>
      <w:marTop w:val="0"/>
      <w:marBottom w:val="0"/>
      <w:divBdr>
        <w:top w:val="none" w:sz="0" w:space="0" w:color="auto"/>
        <w:left w:val="none" w:sz="0" w:space="0" w:color="auto"/>
        <w:bottom w:val="none" w:sz="0" w:space="0" w:color="auto"/>
        <w:right w:val="none" w:sz="0" w:space="0" w:color="auto"/>
      </w:divBdr>
    </w:div>
    <w:div w:id="1004088886">
      <w:bodyDiv w:val="1"/>
      <w:marLeft w:val="0"/>
      <w:marRight w:val="0"/>
      <w:marTop w:val="0"/>
      <w:marBottom w:val="0"/>
      <w:divBdr>
        <w:top w:val="none" w:sz="0" w:space="0" w:color="auto"/>
        <w:left w:val="none" w:sz="0" w:space="0" w:color="auto"/>
        <w:bottom w:val="none" w:sz="0" w:space="0" w:color="auto"/>
        <w:right w:val="none" w:sz="0" w:space="0" w:color="auto"/>
      </w:divBdr>
    </w:div>
    <w:div w:id="1116603911">
      <w:bodyDiv w:val="1"/>
      <w:marLeft w:val="0"/>
      <w:marRight w:val="0"/>
      <w:marTop w:val="0"/>
      <w:marBottom w:val="0"/>
      <w:divBdr>
        <w:top w:val="none" w:sz="0" w:space="0" w:color="auto"/>
        <w:left w:val="none" w:sz="0" w:space="0" w:color="auto"/>
        <w:bottom w:val="none" w:sz="0" w:space="0" w:color="auto"/>
        <w:right w:val="none" w:sz="0" w:space="0" w:color="auto"/>
      </w:divBdr>
    </w:div>
    <w:div w:id="1150362957">
      <w:bodyDiv w:val="1"/>
      <w:marLeft w:val="0"/>
      <w:marRight w:val="0"/>
      <w:marTop w:val="0"/>
      <w:marBottom w:val="0"/>
      <w:divBdr>
        <w:top w:val="none" w:sz="0" w:space="0" w:color="auto"/>
        <w:left w:val="none" w:sz="0" w:space="0" w:color="auto"/>
        <w:bottom w:val="none" w:sz="0" w:space="0" w:color="auto"/>
        <w:right w:val="none" w:sz="0" w:space="0" w:color="auto"/>
      </w:divBdr>
    </w:div>
    <w:div w:id="1157264729">
      <w:bodyDiv w:val="1"/>
      <w:marLeft w:val="0"/>
      <w:marRight w:val="0"/>
      <w:marTop w:val="0"/>
      <w:marBottom w:val="0"/>
      <w:divBdr>
        <w:top w:val="none" w:sz="0" w:space="0" w:color="auto"/>
        <w:left w:val="none" w:sz="0" w:space="0" w:color="auto"/>
        <w:bottom w:val="none" w:sz="0" w:space="0" w:color="auto"/>
        <w:right w:val="none" w:sz="0" w:space="0" w:color="auto"/>
      </w:divBdr>
    </w:div>
    <w:div w:id="1167553475">
      <w:bodyDiv w:val="1"/>
      <w:marLeft w:val="0"/>
      <w:marRight w:val="0"/>
      <w:marTop w:val="0"/>
      <w:marBottom w:val="0"/>
      <w:divBdr>
        <w:top w:val="none" w:sz="0" w:space="0" w:color="auto"/>
        <w:left w:val="none" w:sz="0" w:space="0" w:color="auto"/>
        <w:bottom w:val="none" w:sz="0" w:space="0" w:color="auto"/>
        <w:right w:val="none" w:sz="0" w:space="0" w:color="auto"/>
      </w:divBdr>
    </w:div>
    <w:div w:id="1169559097">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223445223">
      <w:bodyDiv w:val="1"/>
      <w:marLeft w:val="0"/>
      <w:marRight w:val="0"/>
      <w:marTop w:val="0"/>
      <w:marBottom w:val="0"/>
      <w:divBdr>
        <w:top w:val="none" w:sz="0" w:space="0" w:color="auto"/>
        <w:left w:val="none" w:sz="0" w:space="0" w:color="auto"/>
        <w:bottom w:val="none" w:sz="0" w:space="0" w:color="auto"/>
        <w:right w:val="none" w:sz="0" w:space="0" w:color="auto"/>
      </w:divBdr>
    </w:div>
    <w:div w:id="1228613801">
      <w:bodyDiv w:val="1"/>
      <w:marLeft w:val="0"/>
      <w:marRight w:val="0"/>
      <w:marTop w:val="0"/>
      <w:marBottom w:val="0"/>
      <w:divBdr>
        <w:top w:val="none" w:sz="0" w:space="0" w:color="auto"/>
        <w:left w:val="none" w:sz="0" w:space="0" w:color="auto"/>
        <w:bottom w:val="none" w:sz="0" w:space="0" w:color="auto"/>
        <w:right w:val="none" w:sz="0" w:space="0" w:color="auto"/>
      </w:divBdr>
    </w:div>
    <w:div w:id="1245143373">
      <w:bodyDiv w:val="1"/>
      <w:marLeft w:val="0"/>
      <w:marRight w:val="0"/>
      <w:marTop w:val="0"/>
      <w:marBottom w:val="0"/>
      <w:divBdr>
        <w:top w:val="none" w:sz="0" w:space="0" w:color="auto"/>
        <w:left w:val="none" w:sz="0" w:space="0" w:color="auto"/>
        <w:bottom w:val="none" w:sz="0" w:space="0" w:color="auto"/>
        <w:right w:val="none" w:sz="0" w:space="0" w:color="auto"/>
      </w:divBdr>
    </w:div>
    <w:div w:id="1308701489">
      <w:bodyDiv w:val="1"/>
      <w:marLeft w:val="0"/>
      <w:marRight w:val="0"/>
      <w:marTop w:val="0"/>
      <w:marBottom w:val="0"/>
      <w:divBdr>
        <w:top w:val="none" w:sz="0" w:space="0" w:color="auto"/>
        <w:left w:val="none" w:sz="0" w:space="0" w:color="auto"/>
        <w:bottom w:val="none" w:sz="0" w:space="0" w:color="auto"/>
        <w:right w:val="none" w:sz="0" w:space="0" w:color="auto"/>
      </w:divBdr>
    </w:div>
    <w:div w:id="1319000707">
      <w:bodyDiv w:val="1"/>
      <w:marLeft w:val="0"/>
      <w:marRight w:val="0"/>
      <w:marTop w:val="0"/>
      <w:marBottom w:val="0"/>
      <w:divBdr>
        <w:top w:val="none" w:sz="0" w:space="0" w:color="auto"/>
        <w:left w:val="none" w:sz="0" w:space="0" w:color="auto"/>
        <w:bottom w:val="none" w:sz="0" w:space="0" w:color="auto"/>
        <w:right w:val="none" w:sz="0" w:space="0" w:color="auto"/>
      </w:divBdr>
    </w:div>
    <w:div w:id="1324352085">
      <w:bodyDiv w:val="1"/>
      <w:marLeft w:val="0"/>
      <w:marRight w:val="0"/>
      <w:marTop w:val="0"/>
      <w:marBottom w:val="0"/>
      <w:divBdr>
        <w:top w:val="none" w:sz="0" w:space="0" w:color="auto"/>
        <w:left w:val="none" w:sz="0" w:space="0" w:color="auto"/>
        <w:bottom w:val="none" w:sz="0" w:space="0" w:color="auto"/>
        <w:right w:val="none" w:sz="0" w:space="0" w:color="auto"/>
      </w:divBdr>
    </w:div>
    <w:div w:id="1327250382">
      <w:bodyDiv w:val="1"/>
      <w:marLeft w:val="0"/>
      <w:marRight w:val="0"/>
      <w:marTop w:val="0"/>
      <w:marBottom w:val="0"/>
      <w:divBdr>
        <w:top w:val="none" w:sz="0" w:space="0" w:color="auto"/>
        <w:left w:val="none" w:sz="0" w:space="0" w:color="auto"/>
        <w:bottom w:val="none" w:sz="0" w:space="0" w:color="auto"/>
        <w:right w:val="none" w:sz="0" w:space="0" w:color="auto"/>
      </w:divBdr>
    </w:div>
    <w:div w:id="1427190792">
      <w:bodyDiv w:val="1"/>
      <w:marLeft w:val="0"/>
      <w:marRight w:val="0"/>
      <w:marTop w:val="0"/>
      <w:marBottom w:val="0"/>
      <w:divBdr>
        <w:top w:val="none" w:sz="0" w:space="0" w:color="auto"/>
        <w:left w:val="none" w:sz="0" w:space="0" w:color="auto"/>
        <w:bottom w:val="none" w:sz="0" w:space="0" w:color="auto"/>
        <w:right w:val="none" w:sz="0" w:space="0" w:color="auto"/>
      </w:divBdr>
    </w:div>
    <w:div w:id="1492523899">
      <w:bodyDiv w:val="1"/>
      <w:marLeft w:val="0"/>
      <w:marRight w:val="0"/>
      <w:marTop w:val="0"/>
      <w:marBottom w:val="0"/>
      <w:divBdr>
        <w:top w:val="none" w:sz="0" w:space="0" w:color="auto"/>
        <w:left w:val="none" w:sz="0" w:space="0" w:color="auto"/>
        <w:bottom w:val="none" w:sz="0" w:space="0" w:color="auto"/>
        <w:right w:val="none" w:sz="0" w:space="0" w:color="auto"/>
      </w:divBdr>
    </w:div>
    <w:div w:id="1503933521">
      <w:bodyDiv w:val="1"/>
      <w:marLeft w:val="0"/>
      <w:marRight w:val="0"/>
      <w:marTop w:val="0"/>
      <w:marBottom w:val="0"/>
      <w:divBdr>
        <w:top w:val="none" w:sz="0" w:space="0" w:color="auto"/>
        <w:left w:val="none" w:sz="0" w:space="0" w:color="auto"/>
        <w:bottom w:val="none" w:sz="0" w:space="0" w:color="auto"/>
        <w:right w:val="none" w:sz="0" w:space="0" w:color="auto"/>
      </w:divBdr>
    </w:div>
    <w:div w:id="1504930394">
      <w:bodyDiv w:val="1"/>
      <w:marLeft w:val="0"/>
      <w:marRight w:val="0"/>
      <w:marTop w:val="0"/>
      <w:marBottom w:val="0"/>
      <w:divBdr>
        <w:top w:val="none" w:sz="0" w:space="0" w:color="auto"/>
        <w:left w:val="none" w:sz="0" w:space="0" w:color="auto"/>
        <w:bottom w:val="none" w:sz="0" w:space="0" w:color="auto"/>
        <w:right w:val="none" w:sz="0" w:space="0" w:color="auto"/>
      </w:divBdr>
    </w:div>
    <w:div w:id="1590499648">
      <w:bodyDiv w:val="1"/>
      <w:marLeft w:val="0"/>
      <w:marRight w:val="0"/>
      <w:marTop w:val="0"/>
      <w:marBottom w:val="0"/>
      <w:divBdr>
        <w:top w:val="none" w:sz="0" w:space="0" w:color="auto"/>
        <w:left w:val="none" w:sz="0" w:space="0" w:color="auto"/>
        <w:bottom w:val="none" w:sz="0" w:space="0" w:color="auto"/>
        <w:right w:val="none" w:sz="0" w:space="0" w:color="auto"/>
      </w:divBdr>
    </w:div>
    <w:div w:id="1706639682">
      <w:bodyDiv w:val="1"/>
      <w:marLeft w:val="0"/>
      <w:marRight w:val="0"/>
      <w:marTop w:val="0"/>
      <w:marBottom w:val="0"/>
      <w:divBdr>
        <w:top w:val="none" w:sz="0" w:space="0" w:color="auto"/>
        <w:left w:val="none" w:sz="0" w:space="0" w:color="auto"/>
        <w:bottom w:val="none" w:sz="0" w:space="0" w:color="auto"/>
        <w:right w:val="none" w:sz="0" w:space="0" w:color="auto"/>
      </w:divBdr>
    </w:div>
    <w:div w:id="1747652181">
      <w:bodyDiv w:val="1"/>
      <w:marLeft w:val="0"/>
      <w:marRight w:val="0"/>
      <w:marTop w:val="0"/>
      <w:marBottom w:val="0"/>
      <w:divBdr>
        <w:top w:val="none" w:sz="0" w:space="0" w:color="auto"/>
        <w:left w:val="none" w:sz="0" w:space="0" w:color="auto"/>
        <w:bottom w:val="none" w:sz="0" w:space="0" w:color="auto"/>
        <w:right w:val="none" w:sz="0" w:space="0" w:color="auto"/>
      </w:divBdr>
    </w:div>
    <w:div w:id="1774939505">
      <w:bodyDiv w:val="1"/>
      <w:marLeft w:val="0"/>
      <w:marRight w:val="0"/>
      <w:marTop w:val="0"/>
      <w:marBottom w:val="0"/>
      <w:divBdr>
        <w:top w:val="none" w:sz="0" w:space="0" w:color="auto"/>
        <w:left w:val="none" w:sz="0" w:space="0" w:color="auto"/>
        <w:bottom w:val="none" w:sz="0" w:space="0" w:color="auto"/>
        <w:right w:val="none" w:sz="0" w:space="0" w:color="auto"/>
      </w:divBdr>
    </w:div>
    <w:div w:id="1823039884">
      <w:bodyDiv w:val="1"/>
      <w:marLeft w:val="0"/>
      <w:marRight w:val="0"/>
      <w:marTop w:val="0"/>
      <w:marBottom w:val="0"/>
      <w:divBdr>
        <w:top w:val="none" w:sz="0" w:space="0" w:color="auto"/>
        <w:left w:val="none" w:sz="0" w:space="0" w:color="auto"/>
        <w:bottom w:val="none" w:sz="0" w:space="0" w:color="auto"/>
        <w:right w:val="none" w:sz="0" w:space="0" w:color="auto"/>
      </w:divBdr>
    </w:div>
    <w:div w:id="1857963711">
      <w:bodyDiv w:val="1"/>
      <w:marLeft w:val="0"/>
      <w:marRight w:val="0"/>
      <w:marTop w:val="0"/>
      <w:marBottom w:val="0"/>
      <w:divBdr>
        <w:top w:val="none" w:sz="0" w:space="0" w:color="auto"/>
        <w:left w:val="none" w:sz="0" w:space="0" w:color="auto"/>
        <w:bottom w:val="none" w:sz="0" w:space="0" w:color="auto"/>
        <w:right w:val="none" w:sz="0" w:space="0" w:color="auto"/>
      </w:divBdr>
    </w:div>
    <w:div w:id="1967463242">
      <w:bodyDiv w:val="1"/>
      <w:marLeft w:val="0"/>
      <w:marRight w:val="0"/>
      <w:marTop w:val="0"/>
      <w:marBottom w:val="0"/>
      <w:divBdr>
        <w:top w:val="none" w:sz="0" w:space="0" w:color="auto"/>
        <w:left w:val="none" w:sz="0" w:space="0" w:color="auto"/>
        <w:bottom w:val="none" w:sz="0" w:space="0" w:color="auto"/>
        <w:right w:val="none" w:sz="0" w:space="0" w:color="auto"/>
      </w:divBdr>
    </w:div>
    <w:div w:id="2012294280">
      <w:bodyDiv w:val="1"/>
      <w:marLeft w:val="0"/>
      <w:marRight w:val="0"/>
      <w:marTop w:val="0"/>
      <w:marBottom w:val="0"/>
      <w:divBdr>
        <w:top w:val="none" w:sz="0" w:space="0" w:color="auto"/>
        <w:left w:val="none" w:sz="0" w:space="0" w:color="auto"/>
        <w:bottom w:val="none" w:sz="0" w:space="0" w:color="auto"/>
        <w:right w:val="none" w:sz="0" w:space="0" w:color="auto"/>
      </w:divBdr>
    </w:div>
    <w:div w:id="2017422704">
      <w:bodyDiv w:val="1"/>
      <w:marLeft w:val="0"/>
      <w:marRight w:val="0"/>
      <w:marTop w:val="0"/>
      <w:marBottom w:val="0"/>
      <w:divBdr>
        <w:top w:val="none" w:sz="0" w:space="0" w:color="auto"/>
        <w:left w:val="none" w:sz="0" w:space="0" w:color="auto"/>
        <w:bottom w:val="none" w:sz="0" w:space="0" w:color="auto"/>
        <w:right w:val="none" w:sz="0" w:space="0" w:color="auto"/>
      </w:divBdr>
    </w:div>
    <w:div w:id="2094549874">
      <w:bodyDiv w:val="1"/>
      <w:marLeft w:val="0"/>
      <w:marRight w:val="0"/>
      <w:marTop w:val="0"/>
      <w:marBottom w:val="0"/>
      <w:divBdr>
        <w:top w:val="none" w:sz="0" w:space="0" w:color="auto"/>
        <w:left w:val="none" w:sz="0" w:space="0" w:color="auto"/>
        <w:bottom w:val="none" w:sz="0" w:space="0" w:color="auto"/>
        <w:right w:val="none" w:sz="0" w:space="0" w:color="auto"/>
      </w:divBdr>
    </w:div>
    <w:div w:id="2100178419">
      <w:bodyDiv w:val="1"/>
      <w:marLeft w:val="0"/>
      <w:marRight w:val="0"/>
      <w:marTop w:val="0"/>
      <w:marBottom w:val="0"/>
      <w:divBdr>
        <w:top w:val="none" w:sz="0" w:space="0" w:color="auto"/>
        <w:left w:val="none" w:sz="0" w:space="0" w:color="auto"/>
        <w:bottom w:val="none" w:sz="0" w:space="0" w:color="auto"/>
        <w:right w:val="none" w:sz="0" w:space="0" w:color="auto"/>
      </w:divBdr>
    </w:div>
    <w:div w:id="2104522904">
      <w:bodyDiv w:val="1"/>
      <w:marLeft w:val="0"/>
      <w:marRight w:val="0"/>
      <w:marTop w:val="0"/>
      <w:marBottom w:val="0"/>
      <w:divBdr>
        <w:top w:val="none" w:sz="0" w:space="0" w:color="auto"/>
        <w:left w:val="none" w:sz="0" w:space="0" w:color="auto"/>
        <w:bottom w:val="none" w:sz="0" w:space="0" w:color="auto"/>
        <w:right w:val="none" w:sz="0" w:space="0" w:color="auto"/>
      </w:divBdr>
    </w:div>
    <w:div w:id="2120102782">
      <w:bodyDiv w:val="1"/>
      <w:marLeft w:val="0"/>
      <w:marRight w:val="0"/>
      <w:marTop w:val="0"/>
      <w:marBottom w:val="0"/>
      <w:divBdr>
        <w:top w:val="none" w:sz="0" w:space="0" w:color="auto"/>
        <w:left w:val="none" w:sz="0" w:space="0" w:color="auto"/>
        <w:bottom w:val="none" w:sz="0" w:space="0" w:color="auto"/>
        <w:right w:val="none" w:sz="0" w:space="0" w:color="auto"/>
      </w:divBdr>
    </w:div>
    <w:div w:id="212121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liament.scot/S5_JusticeCommittee/Inquiries/JS519CH32_LSS.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awscot.org.uk/media/361103/18-07-31-fam-consultation-review-of-children-scot-act-1995.pdf"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www.lawscot.org.uk/members/rules-and-guidance/rules-and-guidance/section-b/rule-b1/" TargetMode="External"/><Relationship Id="rId2" Type="http://schemas.openxmlformats.org/officeDocument/2006/relationships/hyperlink" Target="https://www.legislation.gov.uk/ukpga/1978/30/section/21" TargetMode="External"/><Relationship Id="rId1" Type="http://schemas.openxmlformats.org/officeDocument/2006/relationships/hyperlink" Target="https://beta.parliament.scot/-/media/files/legislation/bills/current-bills/children-scotland-bill/stage-3/first-marshalled-list-of-amendments-at-stage-3-children-scotland-bil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6F628-88C5-4CC8-BCCC-307993B50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2863</Words>
  <Characters>16324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Euan Campbell</dc:creator>
  <cp:keywords/>
  <dc:description/>
  <cp:lastModifiedBy>Andrew Alexander</cp:lastModifiedBy>
  <cp:revision>2</cp:revision>
  <dcterms:created xsi:type="dcterms:W3CDTF">2020-08-24T16:12:00Z</dcterms:created>
  <dcterms:modified xsi:type="dcterms:W3CDTF">2020-08-24T16:12:00Z</dcterms:modified>
</cp:coreProperties>
</file>