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3B650" w14:textId="77777777" w:rsidR="00FD46EE" w:rsidRDefault="00FD46EE" w:rsidP="00FC4F87">
      <w:pPr>
        <w:pStyle w:val="LSSCover1"/>
        <w:jc w:val="center"/>
      </w:pPr>
      <w:r>
        <w:t>Client Matter Level Risk Assessment</w:t>
      </w:r>
    </w:p>
    <w:p w14:paraId="648E265D" w14:textId="6A65EA64" w:rsidR="00FC4F87" w:rsidRDefault="00FC4F87" w:rsidP="00FC4F87">
      <w:pPr>
        <w:pStyle w:val="LSSCover1"/>
        <w:jc w:val="center"/>
      </w:pPr>
      <w:r>
        <w:t>Non-Natural Persons</w:t>
      </w:r>
    </w:p>
    <w:p w14:paraId="6B361574" w14:textId="390DE380" w:rsidR="00095D94" w:rsidRPr="009B2CB1" w:rsidRDefault="00FD46EE" w:rsidP="002C63DA">
      <w:pPr>
        <w:pStyle w:val="LSSCover1"/>
        <w:numPr>
          <w:ilvl w:val="0"/>
          <w:numId w:val="7"/>
        </w:numPr>
        <w:jc w:val="center"/>
      </w:pPr>
      <w:r>
        <w:t>Guidance Notes</w:t>
      </w:r>
      <w:r w:rsidR="00FC4F87">
        <w:t xml:space="preserve"> - </w:t>
      </w:r>
      <w:r w:rsidR="00095D94" w:rsidRPr="009B2CB1">
        <w:br/>
      </w:r>
    </w:p>
    <w:p w14:paraId="7FD221E7" w14:textId="77777777" w:rsidR="00F92D30" w:rsidRDefault="00F92D30" w:rsidP="007839B2">
      <w:pPr>
        <w:pStyle w:val="NoSpacing"/>
      </w:pPr>
    </w:p>
    <w:p w14:paraId="2B3EB998" w14:textId="77777777" w:rsidR="00F92D30" w:rsidRDefault="00F92D30" w:rsidP="007839B2">
      <w:pPr>
        <w:pStyle w:val="NoSpacing"/>
      </w:pPr>
    </w:p>
    <w:p w14:paraId="09E8F891" w14:textId="77777777" w:rsidR="00F92D30" w:rsidRDefault="00F92D30" w:rsidP="007839B2">
      <w:pPr>
        <w:pStyle w:val="NoSpacing"/>
      </w:pPr>
    </w:p>
    <w:p w14:paraId="163F7218" w14:textId="77777777" w:rsidR="00FD46EE" w:rsidRDefault="00095D94" w:rsidP="007839B2">
      <w:pPr>
        <w:pStyle w:val="NoSpacing"/>
      </w:pPr>
      <w:r w:rsidRPr="00BD2B6A">
        <w:br/>
      </w:r>
    </w:p>
    <w:p w14:paraId="37AA14B1" w14:textId="77777777" w:rsidR="00FD46EE" w:rsidRDefault="00FD46EE" w:rsidP="007839B2">
      <w:pPr>
        <w:pStyle w:val="NoSpacing"/>
      </w:pPr>
    </w:p>
    <w:p w14:paraId="00193FD6" w14:textId="77777777" w:rsidR="00FD46EE" w:rsidRDefault="00FD46EE" w:rsidP="007839B2">
      <w:pPr>
        <w:pStyle w:val="NoSpacing"/>
      </w:pPr>
    </w:p>
    <w:p w14:paraId="6CA6F94A" w14:textId="12E897EE" w:rsidR="0025503C" w:rsidRDefault="00FD46EE" w:rsidP="007839B2">
      <w:pPr>
        <w:pStyle w:val="NoSpacing"/>
        <w:sectPr w:rsidR="0025503C" w:rsidSect="00F436D6">
          <w:headerReference w:type="even" r:id="rId11"/>
          <w:headerReference w:type="default" r:id="rId12"/>
          <w:footerReference w:type="even" r:id="rId13"/>
          <w:footerReference w:type="default" r:id="rId14"/>
          <w:headerReference w:type="first" r:id="rId15"/>
          <w:pgSz w:w="11900" w:h="16840"/>
          <w:pgMar w:top="2552" w:right="737" w:bottom="567" w:left="737" w:header="709" w:footer="284" w:gutter="0"/>
          <w:cols w:space="708"/>
          <w:titlePg/>
          <w:docGrid w:linePitch="360"/>
        </w:sectPr>
      </w:pPr>
      <w:r>
        <w:t>2023</w:t>
      </w:r>
    </w:p>
    <w:p w14:paraId="4BE03222" w14:textId="7A4D0091" w:rsidR="00A02037" w:rsidRPr="00A02037" w:rsidRDefault="00A02037" w:rsidP="00A02037">
      <w:pPr>
        <w:pStyle w:val="LSSCover1"/>
        <w:rPr>
          <w:sz w:val="36"/>
          <w:szCs w:val="36"/>
          <w:lang w:val="en-GB"/>
        </w:rPr>
      </w:pPr>
      <w:r w:rsidRPr="00A02037">
        <w:rPr>
          <w:sz w:val="36"/>
          <w:szCs w:val="36"/>
          <w:lang w:val="en-GB"/>
        </w:rPr>
        <w:lastRenderedPageBreak/>
        <w:t>RISK ASSESSMENT</w:t>
      </w:r>
    </w:p>
    <w:p w14:paraId="01146E5D" w14:textId="77777777" w:rsidR="00A02037" w:rsidRDefault="00A02037" w:rsidP="00DD0864">
      <w:pPr>
        <w:spacing w:line="360" w:lineRule="auto"/>
        <w:rPr>
          <w:color w:val="0F243E" w:themeColor="text2" w:themeShade="80"/>
          <w:lang w:val="en-GB"/>
        </w:rPr>
      </w:pPr>
    </w:p>
    <w:p w14:paraId="60810C66" w14:textId="72F0204F" w:rsidR="00DD0864" w:rsidRPr="00DD0864" w:rsidRDefault="00DD0864" w:rsidP="00DD0864">
      <w:pPr>
        <w:spacing w:line="360" w:lineRule="auto"/>
        <w:rPr>
          <w:color w:val="0F243E" w:themeColor="text2" w:themeShade="80"/>
          <w:lang w:val="en-GB"/>
        </w:rPr>
      </w:pPr>
      <w:r w:rsidRPr="00DD0864">
        <w:rPr>
          <w:color w:val="0F243E" w:themeColor="text2" w:themeShade="80"/>
          <w:lang w:val="en-GB"/>
        </w:rPr>
        <w:t xml:space="preserve">Please see </w:t>
      </w:r>
      <w:r w:rsidRPr="00FD59E7">
        <w:rPr>
          <w:color w:val="0F243E" w:themeColor="text2" w:themeShade="80"/>
          <w:lang w:val="en-GB"/>
        </w:rPr>
        <w:t xml:space="preserve">sections </w:t>
      </w:r>
      <w:r w:rsidRPr="00FD59E7">
        <w:rPr>
          <w:b/>
          <w:color w:val="0F243E" w:themeColor="text2" w:themeShade="80"/>
          <w:lang w:val="en-GB"/>
        </w:rPr>
        <w:t>5.9 to 5.16</w:t>
      </w:r>
      <w:r w:rsidRPr="00DD0864">
        <w:rPr>
          <w:color w:val="0F243E" w:themeColor="text2" w:themeShade="80"/>
          <w:lang w:val="en-GB"/>
        </w:rPr>
        <w:t xml:space="preserve"> of </w:t>
      </w:r>
      <w:hyperlink r:id="rId16" w:history="1">
        <w:r w:rsidRPr="00DD0864">
          <w:rPr>
            <w:rStyle w:val="Hyperlink"/>
            <w:lang w:val="en-GB"/>
          </w:rPr>
          <w:t>the Legal Sector Affinity group guidance, 2021 (LSAG),</w:t>
        </w:r>
      </w:hyperlink>
      <w:r w:rsidRPr="00DD0864">
        <w:rPr>
          <w:color w:val="0F243E" w:themeColor="text2" w:themeShade="80"/>
          <w:lang w:val="en-GB"/>
        </w:rPr>
        <w:t xml:space="preserve"> for further information on how to conduct your client and matter level risk assessments. Reference is also made to specific sub-sections of the guidance below. For further information on AML risks associated with the Scottish legal profession please see the LSS Sectoral Risk Assessment. </w:t>
      </w:r>
    </w:p>
    <w:p w14:paraId="459E2F15" w14:textId="77777777" w:rsidR="00DD0864" w:rsidRDefault="00DD0864" w:rsidP="00DD7C3A">
      <w:pPr>
        <w:spacing w:line="360" w:lineRule="auto"/>
        <w:rPr>
          <w:b/>
          <w:bCs/>
          <w:color w:val="002C5C"/>
          <w:sz w:val="32"/>
          <w:szCs w:val="32"/>
          <w:lang w:val="en-GB"/>
        </w:rPr>
      </w:pPr>
    </w:p>
    <w:p w14:paraId="7687CDA2" w14:textId="29AC5150" w:rsidR="00DD0864" w:rsidRDefault="002E1F66" w:rsidP="00F41DAA">
      <w:pPr>
        <w:pStyle w:val="LSSCover1"/>
        <w:rPr>
          <w:sz w:val="28"/>
          <w:szCs w:val="28"/>
          <w:u w:val="single"/>
        </w:rPr>
      </w:pPr>
      <w:r w:rsidRPr="00FD59E7">
        <w:rPr>
          <w:sz w:val="28"/>
          <w:szCs w:val="28"/>
          <w:u w:val="single"/>
        </w:rPr>
        <w:t>Holistic Overview</w:t>
      </w:r>
    </w:p>
    <w:p w14:paraId="47D981C0" w14:textId="4658B274" w:rsidR="002E1F66" w:rsidRPr="00FD59E7" w:rsidRDefault="002E1F66" w:rsidP="002C63DA">
      <w:pPr>
        <w:pStyle w:val="ListParagraph"/>
        <w:numPr>
          <w:ilvl w:val="0"/>
          <w:numId w:val="11"/>
        </w:numPr>
        <w:rPr>
          <w:lang w:val="en-GB"/>
        </w:rPr>
      </w:pPr>
      <w:r w:rsidRPr="00FD59E7">
        <w:t>In assessing the level of risk in a particular case, the relevant person must take account of factors including, among other things:</w:t>
      </w:r>
    </w:p>
    <w:p w14:paraId="170505E0" w14:textId="77777777" w:rsidR="002E1F66" w:rsidRPr="00FD59E7" w:rsidRDefault="002E1F66" w:rsidP="002E1F66">
      <w:pPr>
        <w:pStyle w:val="ListParagraph"/>
        <w:rPr>
          <w:lang w:val="en-GB"/>
        </w:rPr>
      </w:pPr>
    </w:p>
    <w:p w14:paraId="7E538128" w14:textId="7A3356F6" w:rsidR="002E1F66" w:rsidRPr="00FD59E7" w:rsidRDefault="002E1F66" w:rsidP="002C63DA">
      <w:pPr>
        <w:pStyle w:val="LSSBullets2text"/>
        <w:numPr>
          <w:ilvl w:val="0"/>
          <w:numId w:val="9"/>
        </w:numPr>
      </w:pPr>
      <w:r w:rsidRPr="00FD59E7">
        <w:t>the purpose of an account, transaction</w:t>
      </w:r>
      <w:r w:rsidR="004C33F8">
        <w:t>,</w:t>
      </w:r>
      <w:r w:rsidRPr="00FD59E7">
        <w:t xml:space="preserve"> or business relationship</w:t>
      </w:r>
    </w:p>
    <w:p w14:paraId="648ED6A3" w14:textId="3AA0BE2D" w:rsidR="002E1F66" w:rsidRPr="00FD59E7" w:rsidRDefault="002E1F66" w:rsidP="002C63DA">
      <w:pPr>
        <w:pStyle w:val="LSSBullets2text"/>
        <w:numPr>
          <w:ilvl w:val="0"/>
          <w:numId w:val="9"/>
        </w:numPr>
      </w:pPr>
      <w:r w:rsidRPr="00FD59E7">
        <w:t>the level of assets to be deposited by a customer or the size of the transactions undertaken by the customer</w:t>
      </w:r>
      <w:r w:rsidR="004C33F8">
        <w:t>.</w:t>
      </w:r>
    </w:p>
    <w:p w14:paraId="56CD15D6" w14:textId="063724E9" w:rsidR="002E1F66" w:rsidRPr="00FD59E7" w:rsidRDefault="002E1F66" w:rsidP="002C63DA">
      <w:pPr>
        <w:pStyle w:val="LSSBullets2text"/>
        <w:numPr>
          <w:ilvl w:val="0"/>
          <w:numId w:val="9"/>
        </w:numPr>
      </w:pPr>
      <w:r w:rsidRPr="00FD59E7">
        <w:t>the regularity and duration of the business relationship</w:t>
      </w:r>
      <w:r w:rsidR="004C33F8">
        <w:t>.</w:t>
      </w:r>
    </w:p>
    <w:p w14:paraId="045EE9C2" w14:textId="77777777" w:rsidR="002E1F66" w:rsidRPr="00FD59E7" w:rsidRDefault="002E1F66" w:rsidP="002E1F66">
      <w:pPr>
        <w:spacing w:line="360" w:lineRule="auto"/>
        <w:ind w:left="720"/>
        <w:rPr>
          <w:lang w:val="en-GB"/>
        </w:rPr>
      </w:pPr>
    </w:p>
    <w:p w14:paraId="5D0114B1" w14:textId="59253B40" w:rsidR="003B66AA" w:rsidRPr="00CF7D62" w:rsidRDefault="003B66AA" w:rsidP="002C63DA">
      <w:pPr>
        <w:numPr>
          <w:ilvl w:val="0"/>
          <w:numId w:val="11"/>
        </w:numPr>
        <w:spacing w:line="360" w:lineRule="auto"/>
        <w:rPr>
          <w:lang w:val="en-GB"/>
        </w:rPr>
      </w:pPr>
      <w:r w:rsidRPr="00CF7D62">
        <w:rPr>
          <w:lang w:val="en-GB"/>
        </w:rPr>
        <w:t xml:space="preserve">Personal and long-standing clients do not negate your obligation to comply with the Regulations. Please see </w:t>
      </w:r>
      <w:r w:rsidRPr="00FD59E7">
        <w:rPr>
          <w:lang w:val="en-GB"/>
        </w:rPr>
        <w:t>section</w:t>
      </w:r>
      <w:r w:rsidRPr="00CF7D62">
        <w:rPr>
          <w:b/>
          <w:bCs/>
          <w:lang w:val="en-GB"/>
        </w:rPr>
        <w:t xml:space="preserve"> 6.2 </w:t>
      </w:r>
      <w:r w:rsidRPr="00FD59E7">
        <w:rPr>
          <w:lang w:val="en-GB"/>
        </w:rPr>
        <w:t>of the LSAG guidance</w:t>
      </w:r>
      <w:r w:rsidRPr="00CF7D62">
        <w:rPr>
          <w:lang w:val="en-GB"/>
        </w:rPr>
        <w:t xml:space="preserve"> for information regarding how this may affect the risk profile and due diligence you are required to perform.</w:t>
      </w:r>
      <w:r w:rsidRPr="00CF7D62">
        <w:rPr>
          <w:lang w:val="en-GB"/>
        </w:rPr>
        <w:br/>
      </w:r>
    </w:p>
    <w:p w14:paraId="5CF7552E" w14:textId="23C4BB52" w:rsidR="00FF4349" w:rsidRPr="00FD59E7" w:rsidRDefault="003B66AA" w:rsidP="002C63DA">
      <w:pPr>
        <w:pStyle w:val="LSSBullets2text"/>
        <w:numPr>
          <w:ilvl w:val="0"/>
          <w:numId w:val="11"/>
        </w:numPr>
      </w:pPr>
      <w:r>
        <w:t xml:space="preserve">You should take into consideration the elevated risks attached to certain sectors when carrying out your </w:t>
      </w:r>
      <w:r w:rsidR="00D723B9">
        <w:t xml:space="preserve">risk </w:t>
      </w:r>
      <w:r>
        <w:t>assessments</w:t>
      </w:r>
      <w:r w:rsidR="00E14B58" w:rsidRPr="00FD59E7">
        <w:t>.</w:t>
      </w:r>
      <w:r>
        <w:t xml:space="preserve"> Certain sectors have been identified by credible sources as giving rise to an increased risk of corruption</w:t>
      </w:r>
      <w:r w:rsidR="00E45262" w:rsidRPr="00FD59E7">
        <w:t xml:space="preserve">. </w:t>
      </w:r>
    </w:p>
    <w:p w14:paraId="7964A52E" w14:textId="77777777" w:rsidR="00FF4349" w:rsidRPr="00FD59E7" w:rsidRDefault="00FF4349" w:rsidP="00FF4349">
      <w:pPr>
        <w:pStyle w:val="LSSBullets2text"/>
        <w:ind w:left="720"/>
      </w:pPr>
    </w:p>
    <w:p w14:paraId="0CC5F0AD" w14:textId="6005E562" w:rsidR="00FF4349" w:rsidRPr="00FD59E7" w:rsidRDefault="00FF4349" w:rsidP="00FF4349">
      <w:pPr>
        <w:pStyle w:val="LSSBullets2text"/>
        <w:ind w:left="720"/>
      </w:pPr>
      <w:r w:rsidRPr="00FD59E7">
        <w:t>Sectors that may indicate higher risk, particularly when coupled with a high-risk jurisdiction</w:t>
      </w:r>
      <w:r w:rsidR="00F1515C">
        <w:t xml:space="preserve">(s) </w:t>
      </w:r>
      <w:r w:rsidRPr="00FD59E7">
        <w:t>include (but are not limited to)</w:t>
      </w:r>
    </w:p>
    <w:p w14:paraId="1FD5CFC9" w14:textId="77777777" w:rsidR="00FF4349" w:rsidRPr="00FD59E7" w:rsidRDefault="00FF4349" w:rsidP="00FF4349">
      <w:pPr>
        <w:pStyle w:val="LSSBullets2text"/>
        <w:ind w:left="720"/>
      </w:pPr>
    </w:p>
    <w:p w14:paraId="20AEC443" w14:textId="594197C6" w:rsidR="00FF4349" w:rsidRPr="00FD59E7" w:rsidRDefault="00FF4349" w:rsidP="002C63DA">
      <w:pPr>
        <w:pStyle w:val="LSSBullets2text"/>
        <w:numPr>
          <w:ilvl w:val="0"/>
          <w:numId w:val="9"/>
        </w:numPr>
      </w:pPr>
      <w:r w:rsidRPr="00FD59E7">
        <w:t>domestic and international public work contracts and construction, including post-conflict reconstruction.</w:t>
      </w:r>
    </w:p>
    <w:p w14:paraId="6BAC06A5" w14:textId="25CFE67E" w:rsidR="00FF4349" w:rsidRPr="00FD59E7" w:rsidRDefault="00FF4349" w:rsidP="002C63DA">
      <w:pPr>
        <w:pStyle w:val="LSSBullets2text"/>
        <w:numPr>
          <w:ilvl w:val="0"/>
          <w:numId w:val="9"/>
        </w:numPr>
      </w:pPr>
      <w:r w:rsidRPr="00FD59E7">
        <w:t xml:space="preserve">businesses </w:t>
      </w:r>
      <w:proofErr w:type="spellStart"/>
      <w:r w:rsidRPr="00FD59E7">
        <w:t>utilising</w:t>
      </w:r>
      <w:proofErr w:type="spellEnd"/>
      <w:r w:rsidRPr="00FD59E7">
        <w:t xml:space="preserve"> new or unproven technology, that might make them vulnerable to </w:t>
      </w:r>
    </w:p>
    <w:p w14:paraId="4187CCA5" w14:textId="53AFDCC4" w:rsidR="00FF4349" w:rsidRPr="00FD59E7" w:rsidRDefault="00FF4349" w:rsidP="002C63DA">
      <w:pPr>
        <w:pStyle w:val="LSSBullets2text"/>
        <w:numPr>
          <w:ilvl w:val="0"/>
          <w:numId w:val="9"/>
        </w:numPr>
      </w:pPr>
      <w:r w:rsidRPr="00FD59E7">
        <w:t>being used for money laundering</w:t>
      </w:r>
    </w:p>
    <w:p w14:paraId="11C2B494" w14:textId="33CA2E7D" w:rsidR="00FF4349" w:rsidRPr="00FD59E7" w:rsidRDefault="00FF4349" w:rsidP="002C63DA">
      <w:pPr>
        <w:pStyle w:val="LSSBullets2text"/>
        <w:numPr>
          <w:ilvl w:val="0"/>
          <w:numId w:val="9"/>
        </w:numPr>
      </w:pPr>
      <w:r w:rsidRPr="00FD59E7">
        <w:t>high value goods businesses</w:t>
      </w:r>
    </w:p>
    <w:p w14:paraId="7596550C" w14:textId="5D3DCC7F" w:rsidR="00FF4349" w:rsidRPr="00FD59E7" w:rsidRDefault="00FF4349" w:rsidP="002C63DA">
      <w:pPr>
        <w:pStyle w:val="LSSBullets2text"/>
        <w:numPr>
          <w:ilvl w:val="0"/>
          <w:numId w:val="9"/>
        </w:numPr>
      </w:pPr>
      <w:r w:rsidRPr="00FD59E7">
        <w:t>items of archaeological, historical, cultural</w:t>
      </w:r>
      <w:r w:rsidR="00F1515C">
        <w:t>,</w:t>
      </w:r>
      <w:r w:rsidRPr="00FD59E7">
        <w:t xml:space="preserve"> and religious significance or of rare </w:t>
      </w:r>
    </w:p>
    <w:p w14:paraId="2349B1E9" w14:textId="77777777" w:rsidR="00FF4349" w:rsidRPr="00FD59E7" w:rsidRDefault="00FF4349" w:rsidP="002C63DA">
      <w:pPr>
        <w:pStyle w:val="LSSBullets2text"/>
        <w:numPr>
          <w:ilvl w:val="0"/>
          <w:numId w:val="9"/>
        </w:numPr>
      </w:pPr>
      <w:r w:rsidRPr="00FD59E7">
        <w:t xml:space="preserve">scientific value (this may be of particularly high risk in jurisdictions with exposure to </w:t>
      </w:r>
    </w:p>
    <w:p w14:paraId="5D3AF78F" w14:textId="297BCB9B" w:rsidR="00FF4349" w:rsidRPr="00FD59E7" w:rsidRDefault="00FF4349" w:rsidP="002C63DA">
      <w:pPr>
        <w:pStyle w:val="LSSBullets2text"/>
        <w:numPr>
          <w:ilvl w:val="0"/>
          <w:numId w:val="9"/>
        </w:numPr>
      </w:pPr>
      <w:r w:rsidRPr="00FD59E7">
        <w:t>terrorism or terrorist financing activities)</w:t>
      </w:r>
    </w:p>
    <w:p w14:paraId="3A380077" w14:textId="659285B9" w:rsidR="00FF4349" w:rsidRPr="00FD59E7" w:rsidRDefault="00FF4349" w:rsidP="002C63DA">
      <w:pPr>
        <w:pStyle w:val="LSSBullets2text"/>
        <w:numPr>
          <w:ilvl w:val="0"/>
          <w:numId w:val="9"/>
        </w:numPr>
      </w:pPr>
      <w:r w:rsidRPr="00FD59E7">
        <w:lastRenderedPageBreak/>
        <w:t>aspects of the nuclear industry with vulnerability to proliferation risk</w:t>
      </w:r>
    </w:p>
    <w:p w14:paraId="1176B511" w14:textId="4120EA57" w:rsidR="00FF4349" w:rsidRPr="00FD59E7" w:rsidRDefault="00FF4349" w:rsidP="002C63DA">
      <w:pPr>
        <w:pStyle w:val="LSSBullets2text"/>
        <w:numPr>
          <w:ilvl w:val="0"/>
          <w:numId w:val="9"/>
        </w:numPr>
      </w:pPr>
      <w:r w:rsidRPr="00FD59E7">
        <w:t xml:space="preserve">mining (including precious metals, diamonds or other gemstones and trading of these </w:t>
      </w:r>
    </w:p>
    <w:p w14:paraId="120D0CDE" w14:textId="52307B4A" w:rsidR="00FF4349" w:rsidRPr="00FD59E7" w:rsidRDefault="00FF4349" w:rsidP="002C63DA">
      <w:pPr>
        <w:pStyle w:val="LSSBullets2text"/>
        <w:numPr>
          <w:ilvl w:val="0"/>
          <w:numId w:val="9"/>
        </w:numPr>
      </w:pPr>
      <w:r w:rsidRPr="00FD59E7">
        <w:t>materials)</w:t>
      </w:r>
    </w:p>
    <w:p w14:paraId="19B36343" w14:textId="3C8A8778" w:rsidR="00FF4349" w:rsidRPr="00FD59E7" w:rsidRDefault="00FF4349" w:rsidP="002C63DA">
      <w:pPr>
        <w:pStyle w:val="LSSBullets2text"/>
        <w:numPr>
          <w:ilvl w:val="0"/>
          <w:numId w:val="9"/>
        </w:numPr>
      </w:pPr>
      <w:r w:rsidRPr="00FD59E7">
        <w:t xml:space="preserve">arms manufacturing/supply and the </w:t>
      </w:r>
      <w:proofErr w:type="spellStart"/>
      <w:r w:rsidRPr="00FD59E7">
        <w:t>defence</w:t>
      </w:r>
      <w:proofErr w:type="spellEnd"/>
      <w:r w:rsidRPr="00FD59E7">
        <w:t xml:space="preserve"> industry</w:t>
      </w:r>
    </w:p>
    <w:p w14:paraId="11F3C72D" w14:textId="7FD22962" w:rsidR="00FF4349" w:rsidRPr="00FD59E7" w:rsidRDefault="00FF4349" w:rsidP="002C63DA">
      <w:pPr>
        <w:pStyle w:val="LSSBullets2text"/>
        <w:numPr>
          <w:ilvl w:val="0"/>
          <w:numId w:val="9"/>
        </w:numPr>
      </w:pPr>
      <w:r w:rsidRPr="00FD59E7">
        <w:t>tobacco products</w:t>
      </w:r>
    </w:p>
    <w:p w14:paraId="502CC7EA" w14:textId="0D060671" w:rsidR="00FF4349" w:rsidRPr="00FD59E7" w:rsidRDefault="00FF4349" w:rsidP="002C63DA">
      <w:pPr>
        <w:pStyle w:val="LSSBullets2text"/>
        <w:numPr>
          <w:ilvl w:val="0"/>
          <w:numId w:val="9"/>
        </w:numPr>
      </w:pPr>
      <w:r w:rsidRPr="00FD59E7">
        <w:t>gambling</w:t>
      </w:r>
    </w:p>
    <w:p w14:paraId="60FE292F" w14:textId="3B31C6C9" w:rsidR="00FF4349" w:rsidRPr="00FD59E7" w:rsidRDefault="00FF4349" w:rsidP="002C63DA">
      <w:pPr>
        <w:pStyle w:val="LSSBullets2text"/>
        <w:numPr>
          <w:ilvl w:val="0"/>
          <w:numId w:val="9"/>
        </w:numPr>
      </w:pPr>
      <w:r w:rsidRPr="00FD59E7">
        <w:t>crypto-asset wallet providers and exchanges</w:t>
      </w:r>
    </w:p>
    <w:p w14:paraId="117ECD5D" w14:textId="3FF8107D" w:rsidR="00FF4349" w:rsidRPr="00FD59E7" w:rsidRDefault="00FF4349" w:rsidP="002C63DA">
      <w:pPr>
        <w:pStyle w:val="LSSBullets2text"/>
        <w:numPr>
          <w:ilvl w:val="0"/>
          <w:numId w:val="9"/>
        </w:numPr>
      </w:pPr>
      <w:r w:rsidRPr="00FD59E7">
        <w:t>unregulated charities (particularly those operating in higher risk jurisdictions)</w:t>
      </w:r>
    </w:p>
    <w:p w14:paraId="489921BB" w14:textId="3593F295" w:rsidR="00FF4349" w:rsidRPr="00FD59E7" w:rsidRDefault="00FF4349" w:rsidP="002C63DA">
      <w:pPr>
        <w:pStyle w:val="LSSBullets2text"/>
        <w:numPr>
          <w:ilvl w:val="0"/>
          <w:numId w:val="9"/>
        </w:numPr>
      </w:pPr>
      <w:r w:rsidRPr="00FD59E7">
        <w:t>money transfer businesses</w:t>
      </w:r>
      <w:r w:rsidR="00F1515C">
        <w:t xml:space="preserve">. </w:t>
      </w:r>
    </w:p>
    <w:p w14:paraId="35AFDE92" w14:textId="3D8A0C3F" w:rsidR="00FF4349" w:rsidRPr="00FD59E7" w:rsidRDefault="00FF4349" w:rsidP="002C63DA">
      <w:pPr>
        <w:pStyle w:val="LSSBullets2text"/>
        <w:numPr>
          <w:ilvl w:val="0"/>
          <w:numId w:val="9"/>
        </w:numPr>
      </w:pPr>
      <w:r w:rsidRPr="00FD59E7">
        <w:t>ivory and other items and materials related to protected species</w:t>
      </w:r>
      <w:r w:rsidR="00F1515C">
        <w:t xml:space="preserve">. </w:t>
      </w:r>
    </w:p>
    <w:p w14:paraId="36FA6680" w14:textId="3C17CCC7" w:rsidR="00FF4349" w:rsidRPr="00FD59E7" w:rsidRDefault="00FF4349" w:rsidP="002C63DA">
      <w:pPr>
        <w:pStyle w:val="LSSBullets2text"/>
        <w:numPr>
          <w:ilvl w:val="0"/>
          <w:numId w:val="9"/>
        </w:numPr>
      </w:pPr>
      <w:r w:rsidRPr="00FD59E7">
        <w:t>real estate and property development</w:t>
      </w:r>
    </w:p>
    <w:p w14:paraId="3F3AFFB6" w14:textId="4837E68B" w:rsidR="00FF4349" w:rsidRPr="00FD59E7" w:rsidRDefault="00FF4349" w:rsidP="002C63DA">
      <w:pPr>
        <w:pStyle w:val="LSSBullets2text"/>
        <w:numPr>
          <w:ilvl w:val="0"/>
          <w:numId w:val="9"/>
        </w:numPr>
      </w:pPr>
      <w:r w:rsidRPr="00FD59E7">
        <w:t xml:space="preserve">the oil and gas industry (with the exception of the buying and selling of fuel for </w:t>
      </w:r>
    </w:p>
    <w:p w14:paraId="04846231" w14:textId="5570C055" w:rsidR="00FF4349" w:rsidRPr="00FD59E7" w:rsidRDefault="00FF4349" w:rsidP="00FF4349">
      <w:pPr>
        <w:pStyle w:val="LSSBullets2text"/>
        <w:ind w:left="1440"/>
      </w:pPr>
      <w:r w:rsidRPr="00FD59E7">
        <w:t>domestic consumption or retail).</w:t>
      </w:r>
    </w:p>
    <w:p w14:paraId="55770610" w14:textId="77777777" w:rsidR="00FF4349" w:rsidRPr="00FD59E7" w:rsidRDefault="00FF4349" w:rsidP="00FF4349">
      <w:pPr>
        <w:pStyle w:val="LSSBullets2text"/>
        <w:ind w:left="720"/>
      </w:pPr>
    </w:p>
    <w:p w14:paraId="0D83A1E5" w14:textId="3DF3AD1B" w:rsidR="003B66AA" w:rsidRDefault="003B66AA" w:rsidP="00FF4349">
      <w:pPr>
        <w:pStyle w:val="LSSBullets2text"/>
        <w:ind w:left="720"/>
      </w:pPr>
      <w:r w:rsidRPr="00662168">
        <w:t xml:space="preserve">Please see </w:t>
      </w:r>
      <w:r w:rsidR="0098039E">
        <w:rPr>
          <w:b/>
          <w:bCs/>
        </w:rPr>
        <w:t>r</w:t>
      </w:r>
      <w:r w:rsidRPr="006C3521">
        <w:rPr>
          <w:b/>
          <w:bCs/>
        </w:rPr>
        <w:t xml:space="preserve">.33(6) </w:t>
      </w:r>
      <w:r w:rsidRPr="00FD59E7">
        <w:t>and</w:t>
      </w:r>
      <w:r w:rsidRPr="006C3521">
        <w:rPr>
          <w:b/>
          <w:bCs/>
        </w:rPr>
        <w:t xml:space="preserve"> </w:t>
      </w:r>
      <w:r w:rsidRPr="00FD59E7">
        <w:t>section</w:t>
      </w:r>
      <w:r w:rsidRPr="006C3521">
        <w:rPr>
          <w:b/>
          <w:bCs/>
        </w:rPr>
        <w:t xml:space="preserve"> 5.6.1.3 </w:t>
      </w:r>
      <w:r w:rsidRPr="00FD59E7">
        <w:t>of the LSAG guidance</w:t>
      </w:r>
      <w:r w:rsidRPr="00662168">
        <w:t xml:space="preserve"> for further information.</w:t>
      </w:r>
    </w:p>
    <w:p w14:paraId="58EDE04C" w14:textId="77777777" w:rsidR="004713C7" w:rsidRDefault="004713C7" w:rsidP="00FF4349">
      <w:pPr>
        <w:pStyle w:val="LSSBullets2text"/>
        <w:ind w:left="720"/>
      </w:pPr>
    </w:p>
    <w:p w14:paraId="1EA8E4BC" w14:textId="20FA1633" w:rsidR="004713C7" w:rsidRDefault="007939D7" w:rsidP="007939D7">
      <w:pPr>
        <w:pStyle w:val="LSSBullets2text"/>
        <w:numPr>
          <w:ilvl w:val="0"/>
          <w:numId w:val="11"/>
        </w:numPr>
      </w:pPr>
      <w:r>
        <w:t xml:space="preserve">You </w:t>
      </w:r>
      <w:r w:rsidR="007727AF">
        <w:t>may wish to</w:t>
      </w:r>
      <w:r>
        <w:t xml:space="preserve"> consider the risk of any reputational damage that may arise from completing work</w:t>
      </w:r>
      <w:r w:rsidR="00904039">
        <w:t xml:space="preserve"> </w:t>
      </w:r>
      <w:r w:rsidR="00217695">
        <w:t xml:space="preserve">which could be viewed as </w:t>
      </w:r>
      <w:r w:rsidR="00A829BA">
        <w:t>unethical.</w:t>
      </w:r>
      <w:r w:rsidR="00510A37">
        <w:t xml:space="preserve"> </w:t>
      </w:r>
      <w:r w:rsidR="00217695">
        <w:t>E.g.</w:t>
      </w:r>
      <w:r w:rsidR="000E0AF6">
        <w:t>–</w:t>
      </w:r>
      <w:r w:rsidR="00510A37">
        <w:t xml:space="preserve"> </w:t>
      </w:r>
      <w:r w:rsidR="000E0AF6">
        <w:t xml:space="preserve">guns/arms, illegal wildlife trade, sanctioned individuals, </w:t>
      </w:r>
      <w:r w:rsidR="008E02C0">
        <w:t xml:space="preserve">palm oil. </w:t>
      </w:r>
      <w:r w:rsidR="000E0AF6">
        <w:t xml:space="preserve"> </w:t>
      </w:r>
    </w:p>
    <w:p w14:paraId="63B77DD9" w14:textId="77777777" w:rsidR="007B5740" w:rsidRPr="00FD59E7" w:rsidRDefault="007B5740" w:rsidP="00FF4349">
      <w:pPr>
        <w:pStyle w:val="LSSBullets2text"/>
        <w:ind w:left="720"/>
      </w:pPr>
    </w:p>
    <w:p w14:paraId="418C6BF9" w14:textId="77777777" w:rsidR="007B5740" w:rsidRPr="00FD59E7" w:rsidRDefault="007B5740" w:rsidP="007B5740">
      <w:pPr>
        <w:spacing w:line="360" w:lineRule="auto"/>
        <w:rPr>
          <w:b/>
          <w:bCs/>
          <w:color w:val="002C5C"/>
          <w:sz w:val="32"/>
          <w:szCs w:val="32"/>
          <w:lang w:val="en-GB"/>
        </w:rPr>
      </w:pPr>
      <w:r w:rsidRPr="00FD59E7">
        <w:rPr>
          <w:b/>
          <w:bCs/>
          <w:color w:val="002C5C"/>
          <w:sz w:val="32"/>
          <w:szCs w:val="32"/>
          <w:lang w:val="en-GB"/>
        </w:rPr>
        <w:t>CLIENT LEVEL RISK ASSESSMENT – RISK FACTORS</w:t>
      </w:r>
    </w:p>
    <w:p w14:paraId="10AF997D" w14:textId="03B8E4D7" w:rsidR="003624FD" w:rsidRDefault="00DD7C3A" w:rsidP="000F0A2D">
      <w:pPr>
        <w:pStyle w:val="LSSCover1"/>
        <w:rPr>
          <w:sz w:val="28"/>
          <w:szCs w:val="28"/>
          <w:u w:val="single"/>
        </w:rPr>
      </w:pPr>
      <w:r w:rsidRPr="000F0A2D">
        <w:rPr>
          <w:sz w:val="28"/>
          <w:szCs w:val="28"/>
          <w:u w:val="single"/>
        </w:rPr>
        <w:t>Client Information</w:t>
      </w:r>
    </w:p>
    <w:p w14:paraId="6577CC31" w14:textId="7BE341E7" w:rsidR="00053ACC" w:rsidRDefault="00390520" w:rsidP="002C63DA">
      <w:pPr>
        <w:pStyle w:val="LSSBullets2text"/>
        <w:numPr>
          <w:ilvl w:val="0"/>
          <w:numId w:val="11"/>
        </w:numPr>
      </w:pPr>
      <w:r w:rsidRPr="00FD59E7">
        <w:t>Where the customer is a body corporate, y</w:t>
      </w:r>
      <w:r w:rsidR="00FF5449" w:rsidRPr="00FD59E7">
        <w:t>ou must identify and verify</w:t>
      </w:r>
      <w:r w:rsidR="00657E39">
        <w:t>:</w:t>
      </w:r>
    </w:p>
    <w:p w14:paraId="7D01AA61" w14:textId="1360450E" w:rsidR="00053ACC" w:rsidRDefault="00FF5449" w:rsidP="002C63DA">
      <w:pPr>
        <w:pStyle w:val="LSSBullets2text"/>
        <w:numPr>
          <w:ilvl w:val="1"/>
          <w:numId w:val="5"/>
        </w:numPr>
      </w:pPr>
      <w:r w:rsidRPr="00FF5449">
        <w:t>the name of the company</w:t>
      </w:r>
    </w:p>
    <w:p w14:paraId="51B23159" w14:textId="28D99404" w:rsidR="00053ACC" w:rsidRDefault="00FF5449" w:rsidP="002C63DA">
      <w:pPr>
        <w:pStyle w:val="LSSBullets2text"/>
        <w:numPr>
          <w:ilvl w:val="1"/>
          <w:numId w:val="5"/>
        </w:numPr>
      </w:pPr>
      <w:r w:rsidRPr="00FF5449">
        <w:t>its company number or other registration number</w:t>
      </w:r>
    </w:p>
    <w:p w14:paraId="3C01B6C6" w14:textId="63D88E43" w:rsidR="00053ACC" w:rsidRDefault="00FF5449" w:rsidP="002C63DA">
      <w:pPr>
        <w:pStyle w:val="LSSBullets2text"/>
        <w:numPr>
          <w:ilvl w:val="1"/>
          <w:numId w:val="5"/>
        </w:numPr>
      </w:pPr>
      <w:r w:rsidRPr="00FF5449">
        <w:t>the address of its registered office, and if different, its principal place of business</w:t>
      </w:r>
    </w:p>
    <w:p w14:paraId="137E2154" w14:textId="4B2158C6" w:rsidR="00D539C9" w:rsidRPr="00FD59E7" w:rsidRDefault="0048365A" w:rsidP="002C63DA">
      <w:pPr>
        <w:pStyle w:val="LSSBullets2text"/>
        <w:numPr>
          <w:ilvl w:val="1"/>
          <w:numId w:val="5"/>
        </w:numPr>
      </w:pPr>
      <w:r w:rsidRPr="00FD59E7">
        <w:t>information about the beneficial owners of the company</w:t>
      </w:r>
    </w:p>
    <w:p w14:paraId="0C69C147" w14:textId="77777777" w:rsidR="0048365A" w:rsidRPr="00FD59E7" w:rsidRDefault="0048365A" w:rsidP="0048365A">
      <w:pPr>
        <w:pStyle w:val="LSSBullets2text"/>
        <w:ind w:left="2160"/>
      </w:pPr>
    </w:p>
    <w:p w14:paraId="09778A6B" w14:textId="67F2ADDD" w:rsidR="00D400AB" w:rsidRPr="00FD59E7" w:rsidRDefault="00B50ADD" w:rsidP="00D400AB">
      <w:pPr>
        <w:pStyle w:val="LSSBullets2text"/>
        <w:ind w:left="720"/>
      </w:pPr>
      <w:r>
        <w:t>A</w:t>
      </w:r>
      <w:r w:rsidR="00700FF3">
        <w:t>s</w:t>
      </w:r>
      <w:r>
        <w:t xml:space="preserve"> well as</w:t>
      </w:r>
      <w:r w:rsidR="00D539C9" w:rsidRPr="00FD59E7">
        <w:t xml:space="preserve"> take reasonable measures to determine and verify</w:t>
      </w:r>
      <w:r w:rsidR="00091368" w:rsidRPr="00FD59E7">
        <w:t>:</w:t>
      </w:r>
    </w:p>
    <w:p w14:paraId="7D6141CB" w14:textId="21C844A1" w:rsidR="00D539C9" w:rsidRPr="00FD59E7" w:rsidRDefault="00091368" w:rsidP="002C63DA">
      <w:pPr>
        <w:pStyle w:val="LSSBullets2text"/>
        <w:numPr>
          <w:ilvl w:val="1"/>
          <w:numId w:val="5"/>
        </w:numPr>
      </w:pPr>
      <w:r w:rsidRPr="00FD59E7">
        <w:t>t</w:t>
      </w:r>
      <w:r w:rsidR="00D539C9" w:rsidRPr="00FD59E7">
        <w:t>he law to which the company is subject</w:t>
      </w:r>
      <w:r w:rsidR="00F1515C">
        <w:t>.</w:t>
      </w:r>
    </w:p>
    <w:p w14:paraId="2B931B2B" w14:textId="2D2828A3" w:rsidR="00D539C9" w:rsidRPr="00FD59E7" w:rsidRDefault="00091368" w:rsidP="002C63DA">
      <w:pPr>
        <w:pStyle w:val="LSSBullets2text"/>
        <w:numPr>
          <w:ilvl w:val="1"/>
          <w:numId w:val="5"/>
        </w:numPr>
      </w:pPr>
      <w:r w:rsidRPr="00FD59E7">
        <w:t>i</w:t>
      </w:r>
      <w:r w:rsidR="00D539C9" w:rsidRPr="00FD59E7">
        <w:t>ts constitution (whether set out in its articles of association or other governing documents)</w:t>
      </w:r>
    </w:p>
    <w:p w14:paraId="4D6B3223" w14:textId="72DCB620" w:rsidR="00D539C9" w:rsidRPr="00FD59E7" w:rsidRDefault="00091368" w:rsidP="002C63DA">
      <w:pPr>
        <w:pStyle w:val="LSSBullets2text"/>
        <w:numPr>
          <w:ilvl w:val="1"/>
          <w:numId w:val="5"/>
        </w:numPr>
      </w:pPr>
      <w:r w:rsidRPr="00FD59E7">
        <w:t>t</w:t>
      </w:r>
      <w:r w:rsidR="00D539C9" w:rsidRPr="00FD59E7">
        <w:t>he full names of the board of directors (or if there is no board, the members of the equivalent management body)</w:t>
      </w:r>
    </w:p>
    <w:p w14:paraId="29DBF5EB" w14:textId="77777777" w:rsidR="00CA3126" w:rsidRPr="00FD59E7" w:rsidRDefault="00CA3126" w:rsidP="0048365A">
      <w:pPr>
        <w:pStyle w:val="LSSBullets2text"/>
      </w:pPr>
    </w:p>
    <w:p w14:paraId="76D0AE94" w14:textId="5390605A" w:rsidR="00D539C9" w:rsidRPr="00FD59E7" w:rsidRDefault="0048365A" w:rsidP="00091368">
      <w:pPr>
        <w:pStyle w:val="LSSBullets2text"/>
      </w:pPr>
      <w:r w:rsidRPr="00FD59E7">
        <w:t>For all other legal entity types, please see</w:t>
      </w:r>
      <w:r w:rsidR="00555B4E" w:rsidRPr="00FD59E7">
        <w:t xml:space="preserve"> LSAG</w:t>
      </w:r>
      <w:r w:rsidRPr="00FD59E7">
        <w:t xml:space="preserve"> section</w:t>
      </w:r>
      <w:r w:rsidR="00555B4E" w:rsidRPr="00FD59E7">
        <w:t>s</w:t>
      </w:r>
      <w:r w:rsidRPr="00FD59E7">
        <w:t xml:space="preserve"> </w:t>
      </w:r>
      <w:r w:rsidRPr="00FD59E7">
        <w:rPr>
          <w:b/>
          <w:bCs/>
        </w:rPr>
        <w:t xml:space="preserve">6.14.11 </w:t>
      </w:r>
      <w:r w:rsidR="00CA3126" w:rsidRPr="00FD59E7">
        <w:rPr>
          <w:b/>
          <w:bCs/>
        </w:rPr>
        <w:t>to 6.14.20</w:t>
      </w:r>
      <w:r w:rsidR="00CA3126" w:rsidRPr="00FD59E7">
        <w:t xml:space="preserve">. </w:t>
      </w:r>
    </w:p>
    <w:p w14:paraId="067952B0" w14:textId="77777777" w:rsidR="008C75DF" w:rsidRDefault="008C75DF" w:rsidP="00091368">
      <w:pPr>
        <w:pStyle w:val="LSSBullets2text"/>
      </w:pPr>
    </w:p>
    <w:p w14:paraId="06C388BD" w14:textId="77777777" w:rsidR="00080152" w:rsidRDefault="00080152" w:rsidP="00091368">
      <w:pPr>
        <w:pStyle w:val="LSSBullets2text"/>
      </w:pPr>
    </w:p>
    <w:p w14:paraId="32B9C72A" w14:textId="77777777" w:rsidR="00080152" w:rsidRPr="00FD59E7" w:rsidRDefault="00080152" w:rsidP="00091368">
      <w:pPr>
        <w:pStyle w:val="LSSBullets2text"/>
      </w:pPr>
    </w:p>
    <w:p w14:paraId="1C2AE351" w14:textId="39C2C938" w:rsidR="008C75DF" w:rsidRPr="00FD59E7" w:rsidRDefault="00CA1F09" w:rsidP="004049DC">
      <w:pPr>
        <w:pStyle w:val="LSSBullets2text"/>
        <w:numPr>
          <w:ilvl w:val="0"/>
          <w:numId w:val="11"/>
        </w:numPr>
      </w:pPr>
      <w:r w:rsidRPr="00FD59E7">
        <w:t xml:space="preserve">A beneficial owner is normally an individual who ultimately owns or controls the </w:t>
      </w:r>
      <w:r w:rsidR="00080152">
        <w:t>client.</w:t>
      </w:r>
    </w:p>
    <w:p w14:paraId="124377C7" w14:textId="36E665FB" w:rsidR="002355E6" w:rsidRPr="00FD59E7" w:rsidRDefault="002355E6" w:rsidP="002355E6">
      <w:pPr>
        <w:pStyle w:val="LSSBullets2text"/>
        <w:ind w:left="720"/>
      </w:pPr>
    </w:p>
    <w:p w14:paraId="07E26537" w14:textId="1F69FBA6" w:rsidR="00EC3E80" w:rsidRPr="00FD59E7" w:rsidRDefault="0098039E" w:rsidP="00EC3E80">
      <w:pPr>
        <w:pStyle w:val="LSSBullets2text"/>
      </w:pPr>
      <w:r w:rsidRPr="00EC6EED">
        <w:rPr>
          <w:b/>
          <w:bCs/>
        </w:rPr>
        <w:t>r</w:t>
      </w:r>
      <w:r w:rsidR="004049DC" w:rsidRPr="00EC6EED">
        <w:rPr>
          <w:b/>
          <w:bCs/>
        </w:rPr>
        <w:t>.</w:t>
      </w:r>
      <w:r w:rsidR="00EC3E80" w:rsidRPr="00EC6EED">
        <w:rPr>
          <w:b/>
          <w:bCs/>
        </w:rPr>
        <w:t>5</w:t>
      </w:r>
      <w:r w:rsidR="00EC3E80" w:rsidRPr="00EC6EED">
        <w:rPr>
          <w:b/>
        </w:rPr>
        <w:t>(1)</w:t>
      </w:r>
      <w:r w:rsidR="00EC3E80" w:rsidRPr="00FD59E7">
        <w:t xml:space="preserve"> defines the beneficial owner of a body corporate, other than a listed company, as meaning: </w:t>
      </w:r>
    </w:p>
    <w:p w14:paraId="37C6C59B" w14:textId="73C6D4C0" w:rsidR="00945662" w:rsidRPr="00FD59E7" w:rsidRDefault="00EC3E80" w:rsidP="00EC3E80">
      <w:pPr>
        <w:pStyle w:val="LSSBullets2text"/>
      </w:pPr>
      <w:r w:rsidRPr="00FD59E7">
        <w:t xml:space="preserve">any individual who: </w:t>
      </w:r>
    </w:p>
    <w:p w14:paraId="735F73A3" w14:textId="56EDC2C6" w:rsidR="00945662" w:rsidRPr="00FD59E7" w:rsidRDefault="00EC3E80" w:rsidP="002C63DA">
      <w:pPr>
        <w:pStyle w:val="LSSBullets2text"/>
        <w:numPr>
          <w:ilvl w:val="0"/>
          <w:numId w:val="13"/>
        </w:numPr>
      </w:pPr>
      <w:r w:rsidRPr="00FD59E7">
        <w:t>exercises ultimate control over the management of the body corporate</w:t>
      </w:r>
    </w:p>
    <w:p w14:paraId="7707F25A" w14:textId="27E985CD" w:rsidR="00945662" w:rsidRPr="00FD59E7" w:rsidRDefault="00EC3E80" w:rsidP="002C63DA">
      <w:pPr>
        <w:pStyle w:val="LSSBullets2text"/>
        <w:numPr>
          <w:ilvl w:val="0"/>
          <w:numId w:val="13"/>
        </w:numPr>
      </w:pPr>
      <w:r w:rsidRPr="00FD59E7">
        <w:t>ultimately owns or controls, directly or indirectly, including through bearer share holdings or other means, more than 25% of the shares or voting rights in the body corporate</w:t>
      </w:r>
    </w:p>
    <w:p w14:paraId="421BD92D" w14:textId="44BEC38B" w:rsidR="00963F27" w:rsidRPr="00FD59E7" w:rsidRDefault="00EC3E80" w:rsidP="002C63DA">
      <w:pPr>
        <w:pStyle w:val="LSSBullets2text"/>
        <w:numPr>
          <w:ilvl w:val="0"/>
          <w:numId w:val="13"/>
        </w:numPr>
      </w:pPr>
      <w:r w:rsidRPr="00FD59E7">
        <w:t xml:space="preserve">otherwise controls the body: </w:t>
      </w:r>
    </w:p>
    <w:p w14:paraId="3469FA50" w14:textId="6F198BFA" w:rsidR="00945662" w:rsidRPr="00FD59E7" w:rsidRDefault="00EC3E80" w:rsidP="002C63DA">
      <w:pPr>
        <w:pStyle w:val="LSSBullets2text"/>
        <w:numPr>
          <w:ilvl w:val="0"/>
          <w:numId w:val="12"/>
        </w:numPr>
      </w:pPr>
      <w:r w:rsidRPr="00FD59E7">
        <w:t>by satisfying one or more of the conditions set out in Part 1 of Schedule 1A to the Companies Act 2006 (persons with significant control);</w:t>
      </w:r>
    </w:p>
    <w:p w14:paraId="5A62095C" w14:textId="6870963D" w:rsidR="00EC3E80" w:rsidRPr="00FD59E7" w:rsidRDefault="00EC3E80" w:rsidP="002C63DA">
      <w:pPr>
        <w:pStyle w:val="LSSBullets2text"/>
        <w:numPr>
          <w:ilvl w:val="0"/>
          <w:numId w:val="12"/>
        </w:numPr>
      </w:pPr>
      <w:r w:rsidRPr="00FD59E7">
        <w:t>if the individual were an undertaking, the body corporate would be a subsidiary undertaking of the individual under section1162 of the Companies Act 2006 read with Part 7 of that Act</w:t>
      </w:r>
    </w:p>
    <w:p w14:paraId="7BF1BDC2" w14:textId="77777777" w:rsidR="004049DC" w:rsidRDefault="004049DC" w:rsidP="00756216">
      <w:pPr>
        <w:pStyle w:val="LSSBullets2text"/>
      </w:pPr>
    </w:p>
    <w:p w14:paraId="3605C4DA" w14:textId="5F1491EA" w:rsidR="00756216" w:rsidRPr="00756216" w:rsidRDefault="0098039E" w:rsidP="00756216">
      <w:pPr>
        <w:pStyle w:val="LSSBullets2text"/>
        <w:rPr>
          <w:lang w:val="en-GB"/>
        </w:rPr>
      </w:pPr>
      <w:r w:rsidRPr="00EC6EED">
        <w:rPr>
          <w:b/>
          <w:bCs/>
        </w:rPr>
        <w:t>r</w:t>
      </w:r>
      <w:r w:rsidR="00756216" w:rsidRPr="00EC6EED">
        <w:rPr>
          <w:b/>
          <w:bCs/>
        </w:rPr>
        <w:t>.6(1)</w:t>
      </w:r>
      <w:r w:rsidR="00756216">
        <w:t xml:space="preserve"> defines </w:t>
      </w:r>
      <w:r w:rsidR="00756216" w:rsidRPr="00756216">
        <w:rPr>
          <w:lang w:val="en-GB"/>
        </w:rPr>
        <w:t>beneficial owner</w:t>
      </w:r>
      <w:r w:rsidR="004049DC">
        <w:rPr>
          <w:lang w:val="en-GB"/>
        </w:rPr>
        <w:t>,</w:t>
      </w:r>
      <w:r w:rsidR="00756216" w:rsidRPr="00756216">
        <w:rPr>
          <w:lang w:val="en-GB"/>
        </w:rPr>
        <w:t xml:space="preserve"> in relation to a trust</w:t>
      </w:r>
      <w:r w:rsidR="004049DC">
        <w:rPr>
          <w:lang w:val="en-GB"/>
        </w:rPr>
        <w:t xml:space="preserve"> as being:</w:t>
      </w:r>
    </w:p>
    <w:p w14:paraId="165DB9C9" w14:textId="18E61DFB" w:rsidR="00756216" w:rsidRPr="00756216" w:rsidRDefault="00756216" w:rsidP="004049DC">
      <w:pPr>
        <w:pStyle w:val="LSSBullets2text"/>
        <w:numPr>
          <w:ilvl w:val="0"/>
          <w:numId w:val="14"/>
        </w:numPr>
        <w:rPr>
          <w:lang w:val="en-GB"/>
        </w:rPr>
      </w:pPr>
      <w:r w:rsidRPr="00756216">
        <w:rPr>
          <w:lang w:val="en-GB"/>
        </w:rPr>
        <w:t>the settlor</w:t>
      </w:r>
    </w:p>
    <w:p w14:paraId="24AD1EA6" w14:textId="4F18D876" w:rsidR="00756216" w:rsidRPr="00756216" w:rsidRDefault="00756216" w:rsidP="004049DC">
      <w:pPr>
        <w:pStyle w:val="LSSBullets2text"/>
        <w:numPr>
          <w:ilvl w:val="0"/>
          <w:numId w:val="14"/>
        </w:numPr>
        <w:rPr>
          <w:lang w:val="en-GB"/>
        </w:rPr>
      </w:pPr>
      <w:r w:rsidRPr="00756216">
        <w:rPr>
          <w:lang w:val="en-GB"/>
        </w:rPr>
        <w:t>the trustees</w:t>
      </w:r>
    </w:p>
    <w:p w14:paraId="207D9CD9" w14:textId="07351324" w:rsidR="00756216" w:rsidRPr="00756216" w:rsidRDefault="00756216" w:rsidP="004049DC">
      <w:pPr>
        <w:pStyle w:val="LSSBullets2text"/>
        <w:numPr>
          <w:ilvl w:val="0"/>
          <w:numId w:val="14"/>
        </w:numPr>
        <w:rPr>
          <w:lang w:val="en-GB"/>
        </w:rPr>
      </w:pPr>
      <w:r w:rsidRPr="00756216">
        <w:rPr>
          <w:lang w:val="en-GB"/>
        </w:rPr>
        <w:t>the beneficiaries</w:t>
      </w:r>
    </w:p>
    <w:p w14:paraId="0DF702CF" w14:textId="1A2C119D" w:rsidR="00756216" w:rsidRPr="00756216" w:rsidRDefault="00756216" w:rsidP="004049DC">
      <w:pPr>
        <w:pStyle w:val="LSSBullets2text"/>
        <w:numPr>
          <w:ilvl w:val="0"/>
          <w:numId w:val="14"/>
        </w:numPr>
        <w:rPr>
          <w:lang w:val="en-GB"/>
        </w:rPr>
      </w:pPr>
      <w:r w:rsidRPr="00756216">
        <w:rPr>
          <w:lang w:val="en-GB"/>
        </w:rPr>
        <w:t>where the individuals (or some of the individuals) benefiting from the trust have not been determined, the class of persons in whose main interest the trust is set up, or operates</w:t>
      </w:r>
    </w:p>
    <w:p w14:paraId="583367BC" w14:textId="27AC7D18" w:rsidR="00756216" w:rsidRPr="00756216" w:rsidRDefault="00756216" w:rsidP="004049DC">
      <w:pPr>
        <w:pStyle w:val="LSSBullets2text"/>
        <w:numPr>
          <w:ilvl w:val="0"/>
          <w:numId w:val="14"/>
        </w:numPr>
        <w:rPr>
          <w:lang w:val="en-GB"/>
        </w:rPr>
      </w:pPr>
      <w:r w:rsidRPr="00756216">
        <w:rPr>
          <w:lang w:val="en-GB"/>
        </w:rPr>
        <w:t>any individual who has control over the trust</w:t>
      </w:r>
    </w:p>
    <w:p w14:paraId="556F9F4D" w14:textId="471F7B67" w:rsidR="00756216" w:rsidRPr="00FD59E7" w:rsidRDefault="00756216" w:rsidP="00756216">
      <w:pPr>
        <w:pStyle w:val="LSSBullets2text"/>
      </w:pPr>
    </w:p>
    <w:p w14:paraId="6CFCA9F9" w14:textId="77777777" w:rsidR="004D1209" w:rsidRDefault="00253F4B" w:rsidP="00253F4B">
      <w:pPr>
        <w:pStyle w:val="LSSBullets2text"/>
      </w:pPr>
      <w:r w:rsidRPr="00FD59E7">
        <w:t xml:space="preserve">Beneficial Owners must be identified, and reasonable measures must be taken to verify their identities so that you are satisfied you know who the beneficial owner is and that they are in fact the beneficial owner in question. </w:t>
      </w:r>
    </w:p>
    <w:p w14:paraId="7D2EDB18" w14:textId="77777777" w:rsidR="00547506" w:rsidRPr="00FD59E7" w:rsidRDefault="00547506" w:rsidP="00253F4B">
      <w:pPr>
        <w:pStyle w:val="LSSBullets2text"/>
      </w:pPr>
    </w:p>
    <w:p w14:paraId="062A8352" w14:textId="20FEE0A4" w:rsidR="00253F4B" w:rsidRPr="00FD59E7" w:rsidRDefault="00253F4B" w:rsidP="00253F4B">
      <w:pPr>
        <w:pStyle w:val="LSSBullets2text"/>
      </w:pPr>
      <w:r w:rsidRPr="00FD59E7">
        <w:t>In complex structures, practices may have to look through layers of ownership (and consider any associated dilution of that ownership) to arrive at any natural persons owning or controlling the client entity.</w:t>
      </w:r>
    </w:p>
    <w:p w14:paraId="25B52EAE" w14:textId="77777777" w:rsidR="004D1209" w:rsidRPr="00FD59E7" w:rsidRDefault="004D1209" w:rsidP="00253F4B">
      <w:pPr>
        <w:pStyle w:val="LSSBullets2text"/>
      </w:pPr>
    </w:p>
    <w:p w14:paraId="6B568C68" w14:textId="4395305B" w:rsidR="004D1209" w:rsidRPr="00FD59E7" w:rsidRDefault="004D1209" w:rsidP="00253F4B">
      <w:pPr>
        <w:pStyle w:val="LSSBullets2text"/>
      </w:pPr>
      <w:r w:rsidRPr="00FD59E7">
        <w:t>Please see LSAG</w:t>
      </w:r>
      <w:r w:rsidR="00E139D0">
        <w:t xml:space="preserve"> guid</w:t>
      </w:r>
      <w:r w:rsidR="008E4D02">
        <w:t>ance</w:t>
      </w:r>
      <w:r w:rsidRPr="00FD59E7">
        <w:t xml:space="preserve"> sections </w:t>
      </w:r>
      <w:r w:rsidRPr="00FD59E7">
        <w:rPr>
          <w:b/>
          <w:bCs/>
        </w:rPr>
        <w:t xml:space="preserve">6.15 </w:t>
      </w:r>
      <w:r w:rsidRPr="00FD59E7">
        <w:t>and</w:t>
      </w:r>
      <w:r w:rsidRPr="00FD59E7">
        <w:rPr>
          <w:b/>
          <w:bCs/>
        </w:rPr>
        <w:t xml:space="preserve"> 6.16</w:t>
      </w:r>
      <w:r w:rsidRPr="00FD59E7">
        <w:t xml:space="preserve"> for further information on this. </w:t>
      </w:r>
    </w:p>
    <w:p w14:paraId="1F151D3A" w14:textId="77777777" w:rsidR="00F5042F" w:rsidRDefault="00F5042F" w:rsidP="00F5042F">
      <w:pPr>
        <w:pStyle w:val="ListParagraph"/>
      </w:pPr>
    </w:p>
    <w:p w14:paraId="3825D97B" w14:textId="0AEAA35F" w:rsidR="00F5042F" w:rsidRPr="00794734" w:rsidRDefault="0098039E" w:rsidP="002C63DA">
      <w:pPr>
        <w:pStyle w:val="LSSBullets2text"/>
        <w:numPr>
          <w:ilvl w:val="0"/>
          <w:numId w:val="11"/>
        </w:numPr>
      </w:pPr>
      <w:r>
        <w:rPr>
          <w:b/>
          <w:bCs/>
        </w:rPr>
        <w:t>r</w:t>
      </w:r>
      <w:r w:rsidR="008E4D02">
        <w:rPr>
          <w:b/>
          <w:bCs/>
        </w:rPr>
        <w:t>.</w:t>
      </w:r>
      <w:r w:rsidR="000B0348" w:rsidRPr="008E4D02">
        <w:rPr>
          <w:b/>
          <w:bCs/>
        </w:rPr>
        <w:t>28</w:t>
      </w:r>
      <w:r w:rsidR="000B0348" w:rsidRPr="008E4D02">
        <w:rPr>
          <w:b/>
        </w:rPr>
        <w:t>(3A)</w:t>
      </w:r>
      <w:r w:rsidR="000B0348" w:rsidRPr="000B0348">
        <w:t xml:space="preserve"> states that where the customer is a legal person, trust, company, foundation or similar legal arrangement the relevant person must identify the customer and take reasonable measures to understand the ownership and control structure of that legal person, trust, company, foundation or similar legal arrangement</w:t>
      </w:r>
      <w:r w:rsidR="00924AE3">
        <w:t xml:space="preserve">. </w:t>
      </w:r>
      <w:r w:rsidR="00794734" w:rsidRPr="00794734">
        <w:rPr>
          <w:lang w:val="en-GB"/>
        </w:rPr>
        <w:t xml:space="preserve">Please see </w:t>
      </w:r>
      <w:r w:rsidR="00924AE3" w:rsidRPr="00FD59E7">
        <w:rPr>
          <w:b/>
          <w:lang w:val="en-GB"/>
        </w:rPr>
        <w:t>r.</w:t>
      </w:r>
      <w:r w:rsidR="00794734" w:rsidRPr="00FD59E7">
        <w:rPr>
          <w:b/>
          <w:lang w:val="en-GB"/>
        </w:rPr>
        <w:t xml:space="preserve">28(4), 28(9) </w:t>
      </w:r>
      <w:r w:rsidR="00794734" w:rsidRPr="00FD59E7">
        <w:rPr>
          <w:lang w:val="en-GB"/>
        </w:rPr>
        <w:t>and section</w:t>
      </w:r>
      <w:r w:rsidR="00794734" w:rsidRPr="00FD59E7">
        <w:rPr>
          <w:b/>
          <w:lang w:val="en-GB"/>
        </w:rPr>
        <w:t xml:space="preserve"> 6.14.10 to 6.14.11.3 </w:t>
      </w:r>
      <w:r w:rsidR="00794734" w:rsidRPr="00FD59E7">
        <w:rPr>
          <w:lang w:val="en-GB"/>
        </w:rPr>
        <w:t>of the LSAG guidance</w:t>
      </w:r>
      <w:r w:rsidR="00794734" w:rsidRPr="00794734">
        <w:rPr>
          <w:lang w:val="en-GB"/>
        </w:rPr>
        <w:t xml:space="preserve"> for further information.</w:t>
      </w:r>
    </w:p>
    <w:p w14:paraId="3CCDFE48" w14:textId="77777777" w:rsidR="00794734" w:rsidRPr="008E4D02" w:rsidRDefault="00794734" w:rsidP="00794734">
      <w:pPr>
        <w:pStyle w:val="ListParagraph"/>
        <w:rPr>
          <w:b/>
        </w:rPr>
      </w:pPr>
    </w:p>
    <w:p w14:paraId="5C081301" w14:textId="62698FA9" w:rsidR="00794734" w:rsidRPr="00D319CC" w:rsidRDefault="0098039E" w:rsidP="00556DD1">
      <w:pPr>
        <w:pStyle w:val="LSSBullets2text"/>
        <w:ind w:left="720"/>
      </w:pPr>
      <w:r>
        <w:rPr>
          <w:b/>
        </w:rPr>
        <w:t>r</w:t>
      </w:r>
      <w:r w:rsidR="004672B5" w:rsidRPr="008E4D02">
        <w:rPr>
          <w:b/>
        </w:rPr>
        <w:t>.28(9)</w:t>
      </w:r>
      <w:r w:rsidR="004672B5">
        <w:t xml:space="preserve"> confirms that the register of people with significant control, or the confirmation statement, which is published on the Companies House website, cannot be solely relied upon for the purpose </w:t>
      </w:r>
      <w:r w:rsidR="004672B5">
        <w:lastRenderedPageBreak/>
        <w:t>of identifying or verifying the identity of the beneficial owner of a company or LLP client. Remember, if you are not satisfied with the information you have on the identity of your client/beneficial owner, you should not undertake business with that client, (or cease business if an existing client) as per the requirements of R31.</w:t>
      </w:r>
      <w:r w:rsidR="00AB61CC">
        <w:t xml:space="preserve"> </w:t>
      </w:r>
      <w:r w:rsidR="00D319CC" w:rsidRPr="00D319CC">
        <w:rPr>
          <w:lang w:val="en-GB"/>
        </w:rPr>
        <w:t xml:space="preserve">Please see </w:t>
      </w:r>
      <w:r w:rsidR="00D319CC" w:rsidRPr="00FD59E7">
        <w:rPr>
          <w:lang w:val="en-GB"/>
        </w:rPr>
        <w:t>section</w:t>
      </w:r>
      <w:r w:rsidR="00D319CC" w:rsidRPr="00FD59E7">
        <w:rPr>
          <w:b/>
          <w:lang w:val="en-GB"/>
        </w:rPr>
        <w:t xml:space="preserve"> 6.14.10 to 6.14.11.3</w:t>
      </w:r>
      <w:r w:rsidR="00D319CC" w:rsidRPr="00D319CC">
        <w:rPr>
          <w:lang w:val="en-GB"/>
        </w:rPr>
        <w:t xml:space="preserve"> of the LSAG guidance for further information.</w:t>
      </w:r>
    </w:p>
    <w:p w14:paraId="1D2BD639" w14:textId="77777777" w:rsidR="00E40B26" w:rsidRDefault="00E40B26" w:rsidP="00404D19">
      <w:pPr>
        <w:pStyle w:val="ListParagraph"/>
        <w:spacing w:after="120"/>
        <w:ind w:left="0"/>
      </w:pPr>
    </w:p>
    <w:p w14:paraId="0BAF539D" w14:textId="7621C126" w:rsidR="00392D57" w:rsidRDefault="0098039E" w:rsidP="002C63DA">
      <w:pPr>
        <w:pStyle w:val="LSSBullets2text"/>
        <w:numPr>
          <w:ilvl w:val="0"/>
          <w:numId w:val="11"/>
        </w:numPr>
      </w:pPr>
      <w:r>
        <w:rPr>
          <w:b/>
        </w:rPr>
        <w:t>r</w:t>
      </w:r>
      <w:r w:rsidR="00A32151" w:rsidRPr="006B1AF1">
        <w:rPr>
          <w:b/>
        </w:rPr>
        <w:t>.</w:t>
      </w:r>
      <w:r w:rsidR="00143D9C" w:rsidRPr="006B1AF1">
        <w:rPr>
          <w:b/>
        </w:rPr>
        <w:t>33(6)(a)</w:t>
      </w:r>
      <w:r w:rsidR="00143D9C">
        <w:t xml:space="preserve"> </w:t>
      </w:r>
      <w:r w:rsidR="0011743C" w:rsidRPr="00FD59E7">
        <w:t>highlights</w:t>
      </w:r>
      <w:r w:rsidR="00143D9C">
        <w:t xml:space="preserve"> complex corporate structures </w:t>
      </w:r>
      <w:r w:rsidR="00780ABB">
        <w:t xml:space="preserve">being a risk factor to be considered. </w:t>
      </w:r>
      <w:r w:rsidR="00C8745B">
        <w:t xml:space="preserve">Please see </w:t>
      </w:r>
      <w:r w:rsidR="00C8745B" w:rsidRPr="00FD59E7">
        <w:t>section</w:t>
      </w:r>
      <w:r w:rsidR="00C8745B" w:rsidRPr="00E97B3F">
        <w:rPr>
          <w:b/>
          <w:bCs/>
        </w:rPr>
        <w:t xml:space="preserve"> 6.14.10 </w:t>
      </w:r>
      <w:r w:rsidR="00C8745B" w:rsidRPr="00FD59E7">
        <w:t>of the LSAG guidance</w:t>
      </w:r>
      <w:r w:rsidR="00C8745B">
        <w:t xml:space="preserve"> for further information. </w:t>
      </w:r>
    </w:p>
    <w:p w14:paraId="6027709B" w14:textId="77777777" w:rsidR="00392D57" w:rsidRDefault="00392D57" w:rsidP="00392D57">
      <w:pPr>
        <w:pStyle w:val="ListParagraph"/>
      </w:pPr>
    </w:p>
    <w:p w14:paraId="1C3AF73E" w14:textId="0A9D8C9E" w:rsidR="00E40B26" w:rsidRPr="008323DC" w:rsidRDefault="00E246DE" w:rsidP="002C63DA">
      <w:pPr>
        <w:pStyle w:val="LSSBullets2text"/>
        <w:numPr>
          <w:ilvl w:val="0"/>
          <w:numId w:val="11"/>
        </w:numPr>
      </w:pPr>
      <w:r>
        <w:t xml:space="preserve">If you identify a discrepancy between information relating to the beneficial ownership of the company, and information which becomes available to </w:t>
      </w:r>
      <w:r w:rsidR="00E97B3F">
        <w:t>you</w:t>
      </w:r>
      <w:r>
        <w:t xml:space="preserve"> whilst carrying out </w:t>
      </w:r>
      <w:r w:rsidR="00E97B3F">
        <w:t>your</w:t>
      </w:r>
      <w:r>
        <w:t xml:space="preserve"> duties under the ML Regulations (during </w:t>
      </w:r>
      <w:r w:rsidR="00E97B3F">
        <w:t>the</w:t>
      </w:r>
      <w:r>
        <w:t xml:space="preserve"> onboarding process), the discrepancy must be reported to Companies House </w:t>
      </w:r>
      <w:r w:rsidRPr="006B1AF1">
        <w:rPr>
          <w:b/>
        </w:rPr>
        <w:t>(</w:t>
      </w:r>
      <w:r w:rsidR="0098039E">
        <w:rPr>
          <w:b/>
          <w:bCs/>
        </w:rPr>
        <w:t>r</w:t>
      </w:r>
      <w:r w:rsidR="006B1AF1">
        <w:rPr>
          <w:b/>
          <w:bCs/>
        </w:rPr>
        <w:t>.</w:t>
      </w:r>
      <w:r w:rsidRPr="006B1AF1">
        <w:rPr>
          <w:b/>
          <w:bCs/>
        </w:rPr>
        <w:t>30A</w:t>
      </w:r>
      <w:r w:rsidRPr="006B1AF1">
        <w:rPr>
          <w:b/>
        </w:rPr>
        <w:t>(3)).</w:t>
      </w:r>
      <w:r>
        <w:t xml:space="preserve"> </w:t>
      </w:r>
      <w:r w:rsidR="009F0923" w:rsidRPr="008323DC">
        <w:t xml:space="preserve">Please see </w:t>
      </w:r>
      <w:r w:rsidR="009F0923" w:rsidRPr="00FD59E7">
        <w:t>section</w:t>
      </w:r>
      <w:r w:rsidR="009F0923" w:rsidRPr="00E97B3F">
        <w:rPr>
          <w:b/>
          <w:bCs/>
        </w:rPr>
        <w:t xml:space="preserve"> 12.6 </w:t>
      </w:r>
      <w:r w:rsidR="009F0923" w:rsidRPr="00FD59E7">
        <w:t>of the LSAG guidance</w:t>
      </w:r>
      <w:r w:rsidR="009F0923" w:rsidRPr="008323DC">
        <w:t xml:space="preserve"> for further information.</w:t>
      </w:r>
    </w:p>
    <w:p w14:paraId="29D7667F" w14:textId="77777777" w:rsidR="00B226C8" w:rsidRDefault="00B226C8" w:rsidP="00B226C8">
      <w:pPr>
        <w:pStyle w:val="LSSBullets2text"/>
        <w:ind w:left="284" w:hanging="284"/>
      </w:pPr>
    </w:p>
    <w:p w14:paraId="0FF6CEF1" w14:textId="7275DFBB" w:rsidR="00C26B82" w:rsidRPr="00C26B82" w:rsidRDefault="00C26B82" w:rsidP="00C26B82">
      <w:pPr>
        <w:pStyle w:val="LSSCover1"/>
        <w:rPr>
          <w:sz w:val="28"/>
          <w:szCs w:val="28"/>
          <w:u w:val="single"/>
        </w:rPr>
      </w:pPr>
      <w:r w:rsidRPr="00C26B82">
        <w:rPr>
          <w:sz w:val="28"/>
          <w:szCs w:val="28"/>
          <w:u w:val="single"/>
        </w:rPr>
        <w:t>Client Location</w:t>
      </w:r>
    </w:p>
    <w:p w14:paraId="1E07FFFE" w14:textId="3147159D" w:rsidR="00DB1C09" w:rsidRPr="00FD59E7" w:rsidRDefault="00DB1C09" w:rsidP="002C63DA">
      <w:pPr>
        <w:pStyle w:val="ListParagraph"/>
        <w:numPr>
          <w:ilvl w:val="0"/>
          <w:numId w:val="11"/>
        </w:numPr>
        <w:spacing w:after="240" w:line="320" w:lineRule="exact"/>
        <w:rPr>
          <w:lang w:val="en-GB"/>
        </w:rPr>
      </w:pPr>
      <w:r w:rsidRPr="00FD59E7">
        <w:rPr>
          <w:b/>
          <w:bCs/>
          <w:u w:val="single"/>
          <w:lang w:val="en-GB"/>
        </w:rPr>
        <w:t>Higher Risk jurisdictions</w:t>
      </w:r>
      <w:r w:rsidR="00296D17" w:rsidRPr="00B40B5E">
        <w:rPr>
          <w:b/>
          <w:lang w:val="en-GB"/>
        </w:rPr>
        <w:t xml:space="preserve"> </w:t>
      </w:r>
      <w:r w:rsidR="00E63060" w:rsidRPr="00B40B5E">
        <w:rPr>
          <w:b/>
          <w:lang w:val="en-GB"/>
        </w:rPr>
        <w:t xml:space="preserve">- </w:t>
      </w:r>
      <w:r w:rsidR="00E63060" w:rsidRPr="00FD59E7">
        <w:rPr>
          <w:lang w:val="en-GB"/>
        </w:rPr>
        <w:t>You</w:t>
      </w:r>
      <w:r w:rsidRPr="00FD59E7">
        <w:rPr>
          <w:lang w:val="en-GB"/>
        </w:rPr>
        <w:t xml:space="preserve"> should note that there may be other jurisdictions that present a higher risk of money laundering</w:t>
      </w:r>
      <w:r w:rsidR="00296D17" w:rsidRPr="00FD59E7">
        <w:rPr>
          <w:lang w:val="en-GB"/>
        </w:rPr>
        <w:t xml:space="preserve"> </w:t>
      </w:r>
      <w:r w:rsidRPr="00FD59E7">
        <w:rPr>
          <w:lang w:val="en-GB"/>
        </w:rPr>
        <w:t xml:space="preserve">that are not on the </w:t>
      </w:r>
      <w:r w:rsidR="00296D17" w:rsidRPr="00FD59E7">
        <w:rPr>
          <w:lang w:val="en-GB"/>
        </w:rPr>
        <w:t>below</w:t>
      </w:r>
      <w:r w:rsidRPr="00FD59E7">
        <w:rPr>
          <w:lang w:val="en-GB"/>
        </w:rPr>
        <w:t xml:space="preserve"> </w:t>
      </w:r>
      <w:r w:rsidR="00296D17" w:rsidRPr="00FD59E7">
        <w:rPr>
          <w:lang w:val="en-GB"/>
        </w:rPr>
        <w:t>High-Risk Third Country</w:t>
      </w:r>
      <w:r w:rsidRPr="00FD59E7">
        <w:rPr>
          <w:lang w:val="en-GB"/>
        </w:rPr>
        <w:t xml:space="preserve"> list.</w:t>
      </w:r>
    </w:p>
    <w:p w14:paraId="3254F2CD" w14:textId="77777777" w:rsidR="0038176C" w:rsidRPr="00FD59E7" w:rsidRDefault="0038176C" w:rsidP="0038176C">
      <w:pPr>
        <w:pStyle w:val="ListParagraph"/>
        <w:spacing w:after="240" w:line="320" w:lineRule="exact"/>
        <w:ind w:left="360"/>
        <w:rPr>
          <w:lang w:val="en-GB"/>
        </w:rPr>
      </w:pPr>
    </w:p>
    <w:p w14:paraId="33F47AC2" w14:textId="77777777" w:rsidR="00DB1C09" w:rsidRPr="00FD59E7" w:rsidRDefault="00DB1C09" w:rsidP="00DB1C09">
      <w:pPr>
        <w:pStyle w:val="ListParagraph"/>
        <w:spacing w:after="240" w:line="320" w:lineRule="exact"/>
        <w:ind w:left="360"/>
        <w:rPr>
          <w:lang w:val="en-GB"/>
        </w:rPr>
      </w:pPr>
      <w:r w:rsidRPr="00FD59E7">
        <w:rPr>
          <w:lang w:val="en-GB"/>
        </w:rPr>
        <w:t>Further resources to help you consider whether a country is higher risk include:</w:t>
      </w:r>
    </w:p>
    <w:p w14:paraId="7FBBD5BD" w14:textId="6A156442" w:rsidR="00A660BA" w:rsidRPr="00FD59E7" w:rsidRDefault="003F0832" w:rsidP="00DB1C09">
      <w:pPr>
        <w:pStyle w:val="ListParagraph"/>
        <w:spacing w:after="240" w:line="320" w:lineRule="exact"/>
        <w:ind w:left="360"/>
        <w:rPr>
          <w:lang w:val="en-GB"/>
        </w:rPr>
      </w:pPr>
      <w:hyperlink r:id="rId17" w:history="1">
        <w:r w:rsidR="00A660BA" w:rsidRPr="00FD59E7">
          <w:rPr>
            <w:rStyle w:val="Hyperlink"/>
          </w:rPr>
          <w:t>AML and geographical risk | Law Society of Scotland (lawscot.org.uk)</w:t>
        </w:r>
      </w:hyperlink>
    </w:p>
    <w:p w14:paraId="451622E4" w14:textId="77777777" w:rsidR="00DB1C09" w:rsidRPr="00FD59E7" w:rsidRDefault="003F0832" w:rsidP="00DB1C09">
      <w:pPr>
        <w:pStyle w:val="ListParagraph"/>
        <w:spacing w:after="240" w:line="320" w:lineRule="exact"/>
        <w:ind w:left="360"/>
        <w:rPr>
          <w:lang w:val="en-GB"/>
        </w:rPr>
      </w:pPr>
      <w:hyperlink r:id="rId18" w:history="1">
        <w:r w:rsidR="00DB1C09" w:rsidRPr="00FD59E7">
          <w:rPr>
            <w:rStyle w:val="Hyperlink"/>
            <w:lang w:val="en-GB"/>
          </w:rPr>
          <w:t>Transparency International's corruption perception index</w:t>
        </w:r>
      </w:hyperlink>
    </w:p>
    <w:p w14:paraId="7D456A6D" w14:textId="77777777" w:rsidR="00DB1C09" w:rsidRPr="00FD59E7" w:rsidRDefault="003F0832" w:rsidP="00DB1C09">
      <w:pPr>
        <w:pStyle w:val="ListParagraph"/>
        <w:spacing w:after="240" w:line="320" w:lineRule="exact"/>
        <w:ind w:left="360"/>
        <w:rPr>
          <w:lang w:val="en-GB"/>
        </w:rPr>
      </w:pPr>
      <w:hyperlink r:id="rId19" w:history="1">
        <w:r w:rsidR="00DB1C09" w:rsidRPr="00FD59E7">
          <w:rPr>
            <w:rStyle w:val="Hyperlink"/>
            <w:lang w:val="en-GB"/>
          </w:rPr>
          <w:t>The Basel AML Index</w:t>
        </w:r>
      </w:hyperlink>
    </w:p>
    <w:p w14:paraId="6B10E37D" w14:textId="77777777" w:rsidR="00DB1C09" w:rsidRPr="00FD59E7" w:rsidRDefault="003F0832" w:rsidP="00DB1C09">
      <w:pPr>
        <w:pStyle w:val="ListParagraph"/>
        <w:spacing w:after="240" w:line="320" w:lineRule="exact"/>
        <w:ind w:left="360"/>
        <w:rPr>
          <w:lang w:val="en-GB"/>
        </w:rPr>
      </w:pPr>
      <w:hyperlink r:id="rId20" w:history="1">
        <w:r w:rsidR="00DB1C09" w:rsidRPr="00FD59E7">
          <w:rPr>
            <w:rStyle w:val="Hyperlink"/>
            <w:lang w:val="en-GB"/>
          </w:rPr>
          <w:t xml:space="preserve">CIA World Factbook </w:t>
        </w:r>
      </w:hyperlink>
    </w:p>
    <w:p w14:paraId="01F4110C" w14:textId="77777777" w:rsidR="00DB1C09" w:rsidRPr="00FD59E7" w:rsidRDefault="003F0832" w:rsidP="00DB1C09">
      <w:pPr>
        <w:pStyle w:val="ListParagraph"/>
        <w:spacing w:after="240" w:line="320" w:lineRule="exact"/>
        <w:ind w:left="360"/>
        <w:rPr>
          <w:lang w:val="en-GB"/>
        </w:rPr>
      </w:pPr>
      <w:hyperlink r:id="rId21" w:history="1">
        <w:r w:rsidR="00DB1C09" w:rsidRPr="00FD59E7">
          <w:rPr>
            <w:rStyle w:val="Hyperlink"/>
            <w:lang w:val="en-GB"/>
          </w:rPr>
          <w:t>International Narcotics Control Strategy Reports</w:t>
        </w:r>
      </w:hyperlink>
    </w:p>
    <w:p w14:paraId="0B3EBCB9" w14:textId="77777777" w:rsidR="00DB1C09" w:rsidRPr="00FD59E7" w:rsidRDefault="003F0832" w:rsidP="00DB1C09">
      <w:pPr>
        <w:pStyle w:val="ListParagraph"/>
        <w:spacing w:after="240" w:line="320" w:lineRule="exact"/>
        <w:ind w:left="360"/>
        <w:rPr>
          <w:lang w:val="en-GB"/>
        </w:rPr>
      </w:pPr>
      <w:hyperlink r:id="rId22" w:history="1">
        <w:r w:rsidR="00DB1C09" w:rsidRPr="00FD59E7">
          <w:rPr>
            <w:rStyle w:val="Hyperlink"/>
            <w:lang w:val="en-GB"/>
          </w:rPr>
          <w:t>FATF Jurisdictional Information</w:t>
        </w:r>
      </w:hyperlink>
    </w:p>
    <w:p w14:paraId="00DAC401" w14:textId="77777777" w:rsidR="00DB1C09" w:rsidRPr="00FD59E7" w:rsidRDefault="003F0832" w:rsidP="00DB1C09">
      <w:pPr>
        <w:pStyle w:val="ListParagraph"/>
        <w:spacing w:after="240" w:line="320" w:lineRule="exact"/>
        <w:ind w:left="360"/>
        <w:rPr>
          <w:lang w:val="en-GB"/>
        </w:rPr>
      </w:pPr>
      <w:hyperlink r:id="rId23" w:history="1">
        <w:r w:rsidR="00DB1C09" w:rsidRPr="00FD59E7">
          <w:rPr>
            <w:rStyle w:val="Hyperlink"/>
            <w:lang w:val="en-GB"/>
          </w:rPr>
          <w:t>The Know Your Country rating table</w:t>
        </w:r>
      </w:hyperlink>
    </w:p>
    <w:p w14:paraId="639E06B6" w14:textId="77777777" w:rsidR="00DB1C09" w:rsidRPr="00FD59E7" w:rsidRDefault="00DB1C09" w:rsidP="00DB1C09">
      <w:pPr>
        <w:pStyle w:val="ListParagraph"/>
        <w:ind w:left="360"/>
        <w:rPr>
          <w:lang w:val="en-GB"/>
        </w:rPr>
      </w:pPr>
    </w:p>
    <w:p w14:paraId="40745315" w14:textId="77777777" w:rsidR="00DB1C09" w:rsidRPr="00FD59E7" w:rsidRDefault="00DB1C09" w:rsidP="00DB1C09">
      <w:pPr>
        <w:pStyle w:val="ListParagraph"/>
        <w:ind w:left="360"/>
        <w:rPr>
          <w:lang w:val="en-GB"/>
        </w:rPr>
      </w:pPr>
      <w:r w:rsidRPr="00FD59E7">
        <w:rPr>
          <w:lang w:val="en-GB"/>
        </w:rPr>
        <w:t xml:space="preserve">Please also see </w:t>
      </w:r>
      <w:r w:rsidRPr="00FD59E7">
        <w:rPr>
          <w:b/>
          <w:bCs/>
          <w:lang w:val="en-GB"/>
        </w:rPr>
        <w:t>r.33(3)</w:t>
      </w:r>
      <w:r w:rsidRPr="00FD59E7">
        <w:rPr>
          <w:lang w:val="en-GB"/>
        </w:rPr>
        <w:t xml:space="preserve"> and sections</w:t>
      </w:r>
      <w:r w:rsidRPr="00FD59E7">
        <w:rPr>
          <w:b/>
          <w:bCs/>
          <w:lang w:val="en-GB"/>
        </w:rPr>
        <w:t xml:space="preserve"> 5.6.2.1, 5.6.2.3 &amp; 6.19.1</w:t>
      </w:r>
      <w:r w:rsidRPr="00FD59E7">
        <w:rPr>
          <w:lang w:val="en-GB"/>
        </w:rPr>
        <w:t xml:space="preserve"> of the LSAG guidance for further information and useful links which will assist you.</w:t>
      </w:r>
    </w:p>
    <w:p w14:paraId="32EF05B3" w14:textId="4F1D027F" w:rsidR="00E12015" w:rsidRDefault="00E12015" w:rsidP="00DB1C09">
      <w:pPr>
        <w:pStyle w:val="ListParagraph"/>
        <w:rPr>
          <w:b/>
          <w:u w:val="single"/>
          <w:lang w:val="en-GB"/>
        </w:rPr>
      </w:pPr>
    </w:p>
    <w:p w14:paraId="5ABEDD3A" w14:textId="77777777" w:rsidR="00D45E66" w:rsidRDefault="00D45E66" w:rsidP="00DB1C09">
      <w:pPr>
        <w:pStyle w:val="ListParagraph"/>
        <w:rPr>
          <w:b/>
          <w:u w:val="single"/>
          <w:lang w:val="en-GB"/>
        </w:rPr>
      </w:pPr>
    </w:p>
    <w:p w14:paraId="32C52953" w14:textId="77777777" w:rsidR="00D45E66" w:rsidRDefault="00D45E66" w:rsidP="00DB1C09">
      <w:pPr>
        <w:pStyle w:val="ListParagraph"/>
        <w:rPr>
          <w:b/>
          <w:u w:val="single"/>
          <w:lang w:val="en-GB"/>
        </w:rPr>
      </w:pPr>
    </w:p>
    <w:p w14:paraId="33D25FE8" w14:textId="77777777" w:rsidR="00D45E66" w:rsidRDefault="00D45E66" w:rsidP="00DB1C09">
      <w:pPr>
        <w:pStyle w:val="ListParagraph"/>
        <w:rPr>
          <w:b/>
          <w:u w:val="single"/>
          <w:lang w:val="en-GB"/>
        </w:rPr>
      </w:pPr>
    </w:p>
    <w:p w14:paraId="6F2CC7E7" w14:textId="77777777" w:rsidR="00D45E66" w:rsidRDefault="00D45E66" w:rsidP="00DB1C09">
      <w:pPr>
        <w:pStyle w:val="ListParagraph"/>
        <w:rPr>
          <w:b/>
          <w:u w:val="single"/>
          <w:lang w:val="en-GB"/>
        </w:rPr>
      </w:pPr>
    </w:p>
    <w:p w14:paraId="5EE23C36" w14:textId="77777777" w:rsidR="00D45E66" w:rsidRDefault="00D45E66" w:rsidP="00DB1C09">
      <w:pPr>
        <w:pStyle w:val="ListParagraph"/>
        <w:rPr>
          <w:b/>
          <w:u w:val="single"/>
          <w:lang w:val="en-GB"/>
        </w:rPr>
      </w:pPr>
    </w:p>
    <w:p w14:paraId="5A1084C8" w14:textId="77777777" w:rsidR="00D45E66" w:rsidRDefault="00D45E66" w:rsidP="00DB1C09">
      <w:pPr>
        <w:pStyle w:val="ListParagraph"/>
        <w:rPr>
          <w:b/>
          <w:u w:val="single"/>
          <w:lang w:val="en-GB"/>
        </w:rPr>
      </w:pPr>
    </w:p>
    <w:p w14:paraId="3D8CF689" w14:textId="77777777" w:rsidR="00D45E66" w:rsidRDefault="00D45E66" w:rsidP="00DB1C09">
      <w:pPr>
        <w:pStyle w:val="ListParagraph"/>
        <w:rPr>
          <w:b/>
          <w:u w:val="single"/>
          <w:lang w:val="en-GB"/>
        </w:rPr>
      </w:pPr>
    </w:p>
    <w:p w14:paraId="5A4EB155" w14:textId="77777777" w:rsidR="00D45E66" w:rsidRDefault="00D45E66" w:rsidP="00DB1C09">
      <w:pPr>
        <w:pStyle w:val="ListParagraph"/>
        <w:rPr>
          <w:b/>
          <w:u w:val="single"/>
          <w:lang w:val="en-GB"/>
        </w:rPr>
      </w:pPr>
    </w:p>
    <w:p w14:paraId="52F68FEF" w14:textId="77777777" w:rsidR="00D45E66" w:rsidRDefault="00D45E66" w:rsidP="00DB1C09">
      <w:pPr>
        <w:pStyle w:val="ListParagraph"/>
        <w:rPr>
          <w:b/>
          <w:u w:val="single"/>
          <w:lang w:val="en-GB"/>
        </w:rPr>
      </w:pPr>
    </w:p>
    <w:p w14:paraId="10000288" w14:textId="77777777" w:rsidR="00D45E66" w:rsidRDefault="00D45E66" w:rsidP="00DB1C09">
      <w:pPr>
        <w:pStyle w:val="ListParagraph"/>
        <w:rPr>
          <w:b/>
          <w:u w:val="single"/>
          <w:lang w:val="en-GB"/>
        </w:rPr>
      </w:pPr>
    </w:p>
    <w:p w14:paraId="6CE8F9D1" w14:textId="77777777" w:rsidR="00D45E66" w:rsidRDefault="00D45E66" w:rsidP="00DB1C09">
      <w:pPr>
        <w:pStyle w:val="ListParagraph"/>
        <w:rPr>
          <w:b/>
          <w:u w:val="single"/>
          <w:lang w:val="en-GB"/>
        </w:rPr>
      </w:pPr>
    </w:p>
    <w:p w14:paraId="56072688" w14:textId="77777777" w:rsidR="00D45E66" w:rsidRDefault="00D45E66" w:rsidP="00DB1C09">
      <w:pPr>
        <w:pStyle w:val="ListParagraph"/>
        <w:rPr>
          <w:b/>
          <w:u w:val="single"/>
          <w:lang w:val="en-GB"/>
        </w:rPr>
      </w:pPr>
    </w:p>
    <w:p w14:paraId="1136ABD4" w14:textId="77777777" w:rsidR="00D45E66" w:rsidRDefault="00D45E66" w:rsidP="00DB1C09">
      <w:pPr>
        <w:pStyle w:val="ListParagraph"/>
        <w:rPr>
          <w:b/>
          <w:u w:val="single"/>
          <w:lang w:val="en-GB"/>
        </w:rPr>
      </w:pPr>
    </w:p>
    <w:p w14:paraId="0C562B03" w14:textId="77777777" w:rsidR="00D45E66" w:rsidRDefault="00D45E66" w:rsidP="00DB1C09">
      <w:pPr>
        <w:pStyle w:val="ListParagraph"/>
        <w:rPr>
          <w:b/>
          <w:u w:val="single"/>
          <w:lang w:val="en-GB"/>
        </w:rPr>
      </w:pPr>
    </w:p>
    <w:p w14:paraId="4824789E" w14:textId="77777777" w:rsidR="00D45E66" w:rsidRDefault="00D45E66" w:rsidP="00DB1C09">
      <w:pPr>
        <w:pStyle w:val="ListParagraph"/>
        <w:rPr>
          <w:b/>
          <w:u w:val="single"/>
          <w:lang w:val="en-GB"/>
        </w:rPr>
      </w:pPr>
    </w:p>
    <w:p w14:paraId="7F625904" w14:textId="77777777" w:rsidR="00D45E66" w:rsidRDefault="00D45E66" w:rsidP="00DB1C09">
      <w:pPr>
        <w:pStyle w:val="ListParagraph"/>
        <w:rPr>
          <w:b/>
          <w:u w:val="single"/>
          <w:lang w:val="en-GB"/>
        </w:rPr>
      </w:pPr>
    </w:p>
    <w:p w14:paraId="0B2DE2D1" w14:textId="176118AC" w:rsidR="00E12015" w:rsidRPr="00A369A3" w:rsidRDefault="00E12015" w:rsidP="002C63DA">
      <w:pPr>
        <w:pStyle w:val="ListParagraph"/>
        <w:numPr>
          <w:ilvl w:val="0"/>
          <w:numId w:val="11"/>
        </w:numPr>
        <w:spacing w:after="240" w:line="320" w:lineRule="exact"/>
        <w:rPr>
          <w:u w:val="single"/>
          <w:lang w:val="en-GB"/>
        </w:rPr>
      </w:pPr>
      <w:r w:rsidRPr="00F73AB2">
        <w:rPr>
          <w:b/>
          <w:u w:val="single"/>
          <w:lang w:val="en-GB"/>
        </w:rPr>
        <w:lastRenderedPageBreak/>
        <w:t>High Risk Third Countries (HRTC)</w:t>
      </w:r>
      <w:r w:rsidR="00E63060" w:rsidRPr="00B40B5E">
        <w:rPr>
          <w:b/>
          <w:lang w:val="en-GB"/>
        </w:rPr>
        <w:t xml:space="preserve"> </w:t>
      </w:r>
    </w:p>
    <w:p w14:paraId="7D36EBDA" w14:textId="77777777" w:rsidR="00A369A3" w:rsidRPr="00A369A3" w:rsidRDefault="00A369A3" w:rsidP="00A369A3">
      <w:pPr>
        <w:pStyle w:val="ListParagraph"/>
        <w:spacing w:after="240" w:line="320" w:lineRule="exact"/>
        <w:rPr>
          <w:u w:val="single"/>
          <w:lang w:val="en-GB"/>
        </w:rPr>
      </w:pPr>
    </w:p>
    <w:p w14:paraId="77927111" w14:textId="77777777" w:rsidR="00A369A3" w:rsidRPr="00432957" w:rsidRDefault="00A369A3" w:rsidP="00A369A3">
      <w:pPr>
        <w:pStyle w:val="ListParagraph"/>
        <w:ind w:left="360"/>
        <w:rPr>
          <w:lang w:val="en-GB"/>
        </w:rPr>
      </w:pPr>
      <w:r w:rsidRPr="00432957">
        <w:rPr>
          <w:lang w:val="en-GB"/>
        </w:rPr>
        <w:t xml:space="preserve">HM Treasury released an Advisory notice which came into force on 22 January 2024, this note amended the definition of HRTC. </w:t>
      </w:r>
      <w:r>
        <w:rPr>
          <w:lang w:val="en-GB"/>
        </w:rPr>
        <w:t>It</w:t>
      </w:r>
      <w:r w:rsidRPr="00432957">
        <w:rPr>
          <w:lang w:val="en-GB"/>
        </w:rPr>
        <w:t xml:space="preserve"> removes Schedule 3ZA containing the list of HRTCs in the MLRs. Instead of referring to a separate schedule, Regulation 33(3)(a) will now define an HRTC as:</w:t>
      </w:r>
    </w:p>
    <w:p w14:paraId="4808946F" w14:textId="77777777" w:rsidR="00A369A3" w:rsidRPr="00432957" w:rsidRDefault="00A369A3" w:rsidP="00A369A3">
      <w:pPr>
        <w:pStyle w:val="ListParagraph"/>
        <w:ind w:left="360"/>
        <w:rPr>
          <w:lang w:val="en-GB"/>
        </w:rPr>
      </w:pPr>
    </w:p>
    <w:p w14:paraId="0C333886" w14:textId="77777777" w:rsidR="00A369A3" w:rsidRPr="00432957" w:rsidRDefault="00A369A3" w:rsidP="00A369A3">
      <w:pPr>
        <w:pStyle w:val="ListParagraph"/>
        <w:numPr>
          <w:ilvl w:val="0"/>
          <w:numId w:val="15"/>
        </w:numPr>
        <w:spacing w:after="240" w:line="320" w:lineRule="exact"/>
        <w:rPr>
          <w:lang w:val="en-GB"/>
        </w:rPr>
      </w:pPr>
      <w:r w:rsidRPr="00432957">
        <w:rPr>
          <w:lang w:val="en-GB"/>
        </w:rPr>
        <w:t>a country named on either of the following lists published by the Financial Action Task Force (FATF) as they have effect from time to time—</w:t>
      </w:r>
    </w:p>
    <w:p w14:paraId="240C2A1F" w14:textId="77777777" w:rsidR="00A369A3" w:rsidRPr="00432957" w:rsidRDefault="00A369A3" w:rsidP="00A369A3">
      <w:pPr>
        <w:pStyle w:val="ListParagraph"/>
        <w:ind w:left="360"/>
        <w:rPr>
          <w:lang w:val="en-GB"/>
        </w:rPr>
      </w:pPr>
    </w:p>
    <w:p w14:paraId="01B8BF02" w14:textId="77777777" w:rsidR="00A369A3" w:rsidRPr="00432957" w:rsidRDefault="00A369A3" w:rsidP="00A369A3">
      <w:pPr>
        <w:pStyle w:val="ListParagraph"/>
        <w:numPr>
          <w:ilvl w:val="0"/>
          <w:numId w:val="16"/>
        </w:numPr>
        <w:spacing w:after="240" w:line="320" w:lineRule="exact"/>
        <w:rPr>
          <w:lang w:val="en-GB"/>
        </w:rPr>
      </w:pPr>
      <w:r w:rsidRPr="00432957">
        <w:rPr>
          <w:lang w:val="en-GB"/>
        </w:rPr>
        <w:t xml:space="preserve">High-Risk Jurisdictions subject to a Call for </w:t>
      </w:r>
      <w:proofErr w:type="gramStart"/>
      <w:r w:rsidRPr="00432957">
        <w:rPr>
          <w:lang w:val="en-GB"/>
        </w:rPr>
        <w:t>Action;</w:t>
      </w:r>
      <w:proofErr w:type="gramEnd"/>
    </w:p>
    <w:p w14:paraId="278457BD" w14:textId="77777777" w:rsidR="00A369A3" w:rsidRPr="00432957" w:rsidRDefault="00A369A3" w:rsidP="00A369A3">
      <w:pPr>
        <w:pStyle w:val="ListParagraph"/>
        <w:ind w:left="360"/>
        <w:rPr>
          <w:lang w:val="en-GB"/>
        </w:rPr>
      </w:pPr>
    </w:p>
    <w:p w14:paraId="1B26C75B" w14:textId="77777777" w:rsidR="00A369A3" w:rsidRPr="00432957" w:rsidRDefault="00A369A3" w:rsidP="00A369A3">
      <w:pPr>
        <w:pStyle w:val="ListParagraph"/>
        <w:numPr>
          <w:ilvl w:val="0"/>
          <w:numId w:val="16"/>
        </w:numPr>
        <w:spacing w:after="240" w:line="320" w:lineRule="exact"/>
        <w:rPr>
          <w:lang w:val="en-GB"/>
        </w:rPr>
      </w:pPr>
      <w:r w:rsidRPr="00432957">
        <w:rPr>
          <w:lang w:val="en-GB"/>
        </w:rPr>
        <w:t>Jurisdictions under Increased Monitoring</w:t>
      </w:r>
    </w:p>
    <w:p w14:paraId="39BAA26F" w14:textId="77777777" w:rsidR="00A369A3" w:rsidRPr="00432957" w:rsidRDefault="00A369A3" w:rsidP="00A369A3">
      <w:pPr>
        <w:pStyle w:val="ListParagraph"/>
        <w:ind w:left="360"/>
        <w:rPr>
          <w:lang w:val="en-GB"/>
        </w:rPr>
      </w:pPr>
    </w:p>
    <w:p w14:paraId="47F654E4" w14:textId="77777777" w:rsidR="00A369A3" w:rsidRPr="00432957" w:rsidRDefault="00A369A3" w:rsidP="00A369A3">
      <w:pPr>
        <w:pStyle w:val="ListParagraph"/>
        <w:ind w:left="360"/>
        <w:rPr>
          <w:lang w:val="en-GB"/>
        </w:rPr>
      </w:pPr>
      <w:proofErr w:type="gramStart"/>
      <w:r w:rsidRPr="00432957">
        <w:rPr>
          <w:lang w:val="en-GB"/>
        </w:rPr>
        <w:t>In order to</w:t>
      </w:r>
      <w:proofErr w:type="gramEnd"/>
      <w:r w:rsidRPr="00432957">
        <w:rPr>
          <w:lang w:val="en-GB"/>
        </w:rPr>
        <w:t xml:space="preserve"> keep abreast of which countries are HRTCs, relevant persons will now have to refer directly to lists published by the Financial Action Task Force (‘FATF’) of ‘Jurisdictions Under Increased Monitoring’ and ‘High-Risk Jurisdictions subject to a Call for Action’. These lists are updated three times a year, on the final day of each FATF Plenary meeting, held every February, </w:t>
      </w:r>
      <w:proofErr w:type="gramStart"/>
      <w:r w:rsidRPr="00432957">
        <w:rPr>
          <w:lang w:val="en-GB"/>
        </w:rPr>
        <w:t>June</w:t>
      </w:r>
      <w:proofErr w:type="gramEnd"/>
      <w:r w:rsidRPr="00432957">
        <w:rPr>
          <w:lang w:val="en-GB"/>
        </w:rPr>
        <w:t xml:space="preserve"> and October.</w:t>
      </w:r>
    </w:p>
    <w:p w14:paraId="20D61360" w14:textId="77777777" w:rsidR="00A369A3" w:rsidRPr="00A369A3" w:rsidRDefault="00A369A3" w:rsidP="00A369A3">
      <w:pPr>
        <w:spacing w:after="240" w:line="320" w:lineRule="exact"/>
        <w:rPr>
          <w:u w:val="single"/>
          <w:lang w:val="en-GB"/>
        </w:rPr>
      </w:pPr>
    </w:p>
    <w:p w14:paraId="0A2A7C86" w14:textId="156266F2" w:rsidR="009D6FEE" w:rsidRPr="009D6FEE" w:rsidRDefault="009D6FEE" w:rsidP="009D6FEE">
      <w:pPr>
        <w:pStyle w:val="LSSCover1"/>
        <w:rPr>
          <w:sz w:val="28"/>
          <w:szCs w:val="28"/>
          <w:u w:val="single"/>
        </w:rPr>
      </w:pPr>
      <w:r w:rsidRPr="009D6FEE">
        <w:rPr>
          <w:sz w:val="28"/>
          <w:szCs w:val="28"/>
          <w:u w:val="single"/>
        </w:rPr>
        <w:t>Client Interaction</w:t>
      </w:r>
    </w:p>
    <w:p w14:paraId="0E1E1A2F" w14:textId="77777777" w:rsidR="00990177" w:rsidRPr="00FD59E7" w:rsidRDefault="00990177" w:rsidP="00990177">
      <w:pPr>
        <w:pStyle w:val="LSSBullets2text"/>
        <w:ind w:left="720"/>
        <w:rPr>
          <w:lang w:val="en-GB"/>
        </w:rPr>
      </w:pPr>
    </w:p>
    <w:p w14:paraId="0BD4108B" w14:textId="516F1CCC" w:rsidR="005E7268" w:rsidRPr="0013002A" w:rsidRDefault="00FC7B3B" w:rsidP="002C63DA">
      <w:pPr>
        <w:pStyle w:val="LSSBullets2text"/>
        <w:numPr>
          <w:ilvl w:val="0"/>
          <w:numId w:val="11"/>
        </w:numPr>
        <w:rPr>
          <w:b/>
          <w:bCs/>
          <w:i/>
          <w:iCs/>
          <w:lang w:val="en-GB"/>
        </w:rPr>
      </w:pPr>
      <w:r>
        <w:t xml:space="preserve">ID&amp;V is often undertaken in person, on the premises of your practice using suitable identification documents. </w:t>
      </w:r>
      <w:r w:rsidRPr="00FB2ACB">
        <w:t>Alternatively, you can use software products that enable video conferencing to assist with the identification and verification process.</w:t>
      </w:r>
      <w:r>
        <w:t xml:space="preserve"> </w:t>
      </w:r>
      <w:r w:rsidRPr="00757058">
        <w:rPr>
          <w:noProof/>
          <w:lang w:val="en-GB"/>
        </w:rPr>
        <w:t>Your practice’s definition of face-to-face should be document</w:t>
      </w:r>
      <w:r>
        <w:rPr>
          <w:noProof/>
          <w:lang w:val="en-GB"/>
        </w:rPr>
        <w:t>ed</w:t>
      </w:r>
      <w:r w:rsidRPr="00757058">
        <w:rPr>
          <w:noProof/>
          <w:lang w:val="en-GB"/>
        </w:rPr>
        <w:t xml:space="preserve"> in your AML policies, controls and procedures. The LSS website provides guidance on </w:t>
      </w:r>
      <w:hyperlink r:id="rId24" w:history="1">
        <w:r w:rsidRPr="00757058">
          <w:rPr>
            <w:rStyle w:val="Hyperlink"/>
            <w:lang w:val="en-GB"/>
          </w:rPr>
          <w:t>non-face-to-face identification and verification</w:t>
        </w:r>
      </w:hyperlink>
      <w:r w:rsidRPr="00757058">
        <w:rPr>
          <w:noProof/>
          <w:lang w:val="en-GB"/>
        </w:rPr>
        <w:t xml:space="preserve">. </w:t>
      </w:r>
      <w:r w:rsidR="005E7268" w:rsidRPr="0013002A">
        <w:rPr>
          <w:lang w:val="en-GB"/>
        </w:rPr>
        <w:t>Please</w:t>
      </w:r>
      <w:r w:rsidR="00AB2E59" w:rsidRPr="0013002A">
        <w:rPr>
          <w:lang w:val="en-GB"/>
        </w:rPr>
        <w:t xml:space="preserve"> also</w:t>
      </w:r>
      <w:r w:rsidR="005E7268" w:rsidRPr="0013002A">
        <w:rPr>
          <w:lang w:val="en-GB"/>
        </w:rPr>
        <w:t xml:space="preserve"> see </w:t>
      </w:r>
      <w:r w:rsidR="005E7268" w:rsidRPr="00FD59E7">
        <w:rPr>
          <w:lang w:val="en-GB"/>
        </w:rPr>
        <w:t xml:space="preserve">sections </w:t>
      </w:r>
      <w:r w:rsidR="005E7268" w:rsidRPr="00FD59E7">
        <w:rPr>
          <w:b/>
          <w:lang w:val="en-GB"/>
        </w:rPr>
        <w:t>6.14.5</w:t>
      </w:r>
      <w:r w:rsidR="00FA6D9D" w:rsidRPr="00FD59E7">
        <w:rPr>
          <w:b/>
          <w:bCs/>
          <w:lang w:val="en-GB"/>
        </w:rPr>
        <w:t xml:space="preserve">, </w:t>
      </w:r>
      <w:r w:rsidR="005E7268" w:rsidRPr="00FD59E7">
        <w:rPr>
          <w:b/>
          <w:bCs/>
          <w:lang w:val="en-GB"/>
        </w:rPr>
        <w:t>6.14.6</w:t>
      </w:r>
      <w:r w:rsidR="005E7268" w:rsidRPr="00FD59E7">
        <w:rPr>
          <w:lang w:val="en-GB"/>
        </w:rPr>
        <w:t xml:space="preserve"> and </w:t>
      </w:r>
      <w:r w:rsidR="005E7268" w:rsidRPr="00FD59E7">
        <w:rPr>
          <w:b/>
          <w:lang w:val="en-GB"/>
        </w:rPr>
        <w:t>6.6</w:t>
      </w:r>
      <w:r w:rsidR="005E7268" w:rsidRPr="0013002A">
        <w:rPr>
          <w:lang w:val="en-GB"/>
        </w:rPr>
        <w:t xml:space="preserve"> of the LSAG guidance for further information.</w:t>
      </w:r>
    </w:p>
    <w:p w14:paraId="3145E906" w14:textId="77777777" w:rsidR="00AB2E59" w:rsidRPr="005E7268" w:rsidRDefault="00AB2E59" w:rsidP="0013002A">
      <w:pPr>
        <w:pStyle w:val="LSSBullets2text"/>
        <w:rPr>
          <w:b/>
          <w:bCs/>
          <w:i/>
          <w:iCs/>
          <w:lang w:val="en-GB"/>
        </w:rPr>
      </w:pPr>
    </w:p>
    <w:p w14:paraId="7D7FD91A" w14:textId="0B9622B5" w:rsidR="00A914D7" w:rsidRPr="00A914D7" w:rsidRDefault="00A914D7" w:rsidP="002C63DA">
      <w:pPr>
        <w:pStyle w:val="LSSBullets2text"/>
        <w:numPr>
          <w:ilvl w:val="0"/>
          <w:numId w:val="11"/>
        </w:numPr>
      </w:pPr>
      <w:r w:rsidRPr="002E3609">
        <w:rPr>
          <w:noProof/>
          <w:lang w:val="en-GB"/>
        </w:rPr>
        <w:t xml:space="preserve">When you do not meet the client, you should consider the reason for this and whether this represents an additional risk which should be </w:t>
      </w:r>
      <w:r w:rsidR="008D11F8">
        <w:rPr>
          <w:noProof/>
          <w:lang w:val="en-GB"/>
        </w:rPr>
        <w:t>considered</w:t>
      </w:r>
      <w:r w:rsidRPr="002E3609">
        <w:rPr>
          <w:noProof/>
          <w:lang w:val="en-GB"/>
        </w:rPr>
        <w:t xml:space="preserve"> within your risk assessment and the extent of the due diligence measures you apply. </w:t>
      </w:r>
      <w:r w:rsidR="008D11F8">
        <w:rPr>
          <w:noProof/>
          <w:lang w:val="en-GB"/>
        </w:rPr>
        <w:t>Electronic ID</w:t>
      </w:r>
      <w:r w:rsidRPr="002E3609">
        <w:rPr>
          <w:noProof/>
          <w:lang w:val="en-GB"/>
        </w:rPr>
        <w:t xml:space="preserve">&amp;V may be a particularly useful tool in these circumstances. Please see </w:t>
      </w:r>
      <w:r w:rsidRPr="00FD59E7">
        <w:rPr>
          <w:lang w:val="en-GB"/>
        </w:rPr>
        <w:t>sections</w:t>
      </w:r>
      <w:r w:rsidRPr="00A914D7">
        <w:rPr>
          <w:b/>
          <w:bCs/>
          <w:noProof/>
          <w:lang w:val="en-GB"/>
        </w:rPr>
        <w:t xml:space="preserve"> 6.14.5 </w:t>
      </w:r>
      <w:r w:rsidRPr="00FD59E7">
        <w:rPr>
          <w:lang w:val="en-GB"/>
        </w:rPr>
        <w:t>and</w:t>
      </w:r>
      <w:r w:rsidRPr="00A914D7">
        <w:rPr>
          <w:b/>
          <w:bCs/>
          <w:noProof/>
          <w:lang w:val="en-GB"/>
        </w:rPr>
        <w:t xml:space="preserve"> 6.14.6 </w:t>
      </w:r>
      <w:r w:rsidRPr="00FD59E7">
        <w:rPr>
          <w:lang w:val="en-GB"/>
        </w:rPr>
        <w:t>of the LSAG guidance</w:t>
      </w:r>
      <w:r w:rsidRPr="002E3609">
        <w:rPr>
          <w:noProof/>
          <w:lang w:val="en-GB"/>
        </w:rPr>
        <w:t xml:space="preserve"> for further information.</w:t>
      </w:r>
    </w:p>
    <w:p w14:paraId="2CB8C703" w14:textId="77777777" w:rsidR="00A914D7" w:rsidRDefault="00A914D7" w:rsidP="00A914D7">
      <w:pPr>
        <w:pStyle w:val="ListParagraph"/>
        <w:rPr>
          <w:lang w:val="en-GB"/>
        </w:rPr>
      </w:pPr>
    </w:p>
    <w:p w14:paraId="5B88729E" w14:textId="77777777" w:rsidR="007E4C56" w:rsidRDefault="007E4C56" w:rsidP="002C63DA">
      <w:pPr>
        <w:pStyle w:val="LSSBullets2text"/>
        <w:numPr>
          <w:ilvl w:val="0"/>
          <w:numId w:val="11"/>
        </w:numPr>
        <w:spacing w:line="320" w:lineRule="exact"/>
        <w:rPr>
          <w:noProof/>
          <w:lang w:val="en-GB"/>
        </w:rPr>
      </w:pPr>
      <w:r w:rsidRPr="002E3609">
        <w:rPr>
          <w:noProof/>
          <w:lang w:val="en-GB"/>
        </w:rPr>
        <w:t>If the client acting or planning to act through an intermediary, you must establish why and ensure that the rationale for doing so makes sense.</w:t>
      </w:r>
      <w:r>
        <w:rPr>
          <w:noProof/>
          <w:lang w:val="en-GB"/>
        </w:rPr>
        <w:t xml:space="preserve"> You must also:</w:t>
      </w:r>
    </w:p>
    <w:p w14:paraId="1CA1ED32" w14:textId="77777777" w:rsidR="007E4C56" w:rsidRPr="00FF4605" w:rsidRDefault="007E4C56" w:rsidP="002C63DA">
      <w:pPr>
        <w:pStyle w:val="LSSBullets2text"/>
        <w:numPr>
          <w:ilvl w:val="0"/>
          <w:numId w:val="10"/>
        </w:numPr>
        <w:spacing w:line="320" w:lineRule="exact"/>
        <w:rPr>
          <w:noProof/>
          <w:lang w:val="en-GB"/>
        </w:rPr>
      </w:pPr>
      <w:r w:rsidRPr="00FF4605">
        <w:rPr>
          <w:noProof/>
        </w:rPr>
        <w:t>verify that the intermediary, agent or representative is authorised to act on your client’s behalf (i.e., obtain written confirmation from your client)</w:t>
      </w:r>
    </w:p>
    <w:p w14:paraId="0B1549D2" w14:textId="77777777" w:rsidR="007E4C56" w:rsidRPr="00FF4605" w:rsidRDefault="007E4C56" w:rsidP="002C63DA">
      <w:pPr>
        <w:pStyle w:val="LSSBullets2text"/>
        <w:numPr>
          <w:ilvl w:val="0"/>
          <w:numId w:val="10"/>
        </w:numPr>
        <w:spacing w:line="320" w:lineRule="exact"/>
        <w:rPr>
          <w:noProof/>
          <w:lang w:val="en-GB"/>
        </w:rPr>
      </w:pPr>
      <w:r w:rsidRPr="00FF4605">
        <w:rPr>
          <w:noProof/>
        </w:rPr>
        <w:t>identify the intermediary, agent or representative</w:t>
      </w:r>
    </w:p>
    <w:p w14:paraId="59A492D6" w14:textId="72CC1467" w:rsidR="007E4C56" w:rsidRDefault="007E4C56" w:rsidP="002C63DA">
      <w:pPr>
        <w:pStyle w:val="LSSBullets2text"/>
        <w:numPr>
          <w:ilvl w:val="0"/>
          <w:numId w:val="10"/>
        </w:numPr>
        <w:spacing w:line="320" w:lineRule="exact"/>
        <w:rPr>
          <w:noProof/>
          <w:lang w:val="en-GB"/>
        </w:rPr>
      </w:pPr>
      <w:r w:rsidRPr="00FF4605">
        <w:rPr>
          <w:noProof/>
        </w:rPr>
        <w:t xml:space="preserve">verify the identity of the intermediary, agent or representative on the basis of documents and information from a reliable source which is independent of both the representative and the client e.g., via a copy of their passport or driving license. </w:t>
      </w:r>
      <w:r w:rsidRPr="002E3609">
        <w:rPr>
          <w:noProof/>
          <w:lang w:val="en-GB"/>
        </w:rPr>
        <w:t xml:space="preserve"> </w:t>
      </w:r>
    </w:p>
    <w:p w14:paraId="38AEA066" w14:textId="77777777" w:rsidR="00952B20" w:rsidRDefault="007E4C56" w:rsidP="00044FED">
      <w:pPr>
        <w:pStyle w:val="LSSBullets2text"/>
        <w:spacing w:line="320" w:lineRule="exact"/>
        <w:ind w:left="720"/>
        <w:rPr>
          <w:noProof/>
          <w:lang w:val="en-GB"/>
        </w:rPr>
      </w:pPr>
      <w:r w:rsidRPr="002E3609">
        <w:rPr>
          <w:noProof/>
          <w:lang w:val="en-GB"/>
        </w:rPr>
        <w:t xml:space="preserve">Please see </w:t>
      </w:r>
      <w:r w:rsidRPr="00FD59E7">
        <w:rPr>
          <w:b/>
          <w:lang w:val="en-GB"/>
        </w:rPr>
        <w:t>r.28(10)</w:t>
      </w:r>
      <w:r w:rsidRPr="002E3609">
        <w:rPr>
          <w:noProof/>
          <w:lang w:val="en-GB"/>
        </w:rPr>
        <w:t xml:space="preserve"> and section </w:t>
      </w:r>
      <w:r w:rsidRPr="00FD59E7">
        <w:rPr>
          <w:b/>
          <w:lang w:val="en-GB"/>
        </w:rPr>
        <w:t>6.14.9</w:t>
      </w:r>
      <w:r w:rsidRPr="002E3609">
        <w:rPr>
          <w:noProof/>
          <w:lang w:val="en-GB"/>
        </w:rPr>
        <w:t xml:space="preserve"> and </w:t>
      </w:r>
      <w:r w:rsidRPr="00FD59E7">
        <w:rPr>
          <w:b/>
          <w:lang w:val="en-GB"/>
        </w:rPr>
        <w:t>6.6</w:t>
      </w:r>
      <w:r w:rsidRPr="002E3609">
        <w:rPr>
          <w:noProof/>
          <w:lang w:val="en-GB"/>
        </w:rPr>
        <w:t xml:space="preserve"> of the LSAG guidance for further information.</w:t>
      </w:r>
    </w:p>
    <w:p w14:paraId="5B98834C" w14:textId="4A99F1E7" w:rsidR="00262B0C" w:rsidRDefault="00262B0C" w:rsidP="00262B0C">
      <w:pPr>
        <w:pStyle w:val="LSSCover1"/>
        <w:rPr>
          <w:sz w:val="28"/>
          <w:szCs w:val="28"/>
          <w:u w:val="single"/>
        </w:rPr>
      </w:pPr>
      <w:r w:rsidRPr="00FD59E7">
        <w:rPr>
          <w:sz w:val="28"/>
          <w:szCs w:val="28"/>
          <w:u w:val="single"/>
        </w:rPr>
        <w:lastRenderedPageBreak/>
        <w:t>Sanction, Pep</w:t>
      </w:r>
      <w:r w:rsidR="00D32CB2" w:rsidRPr="00FD59E7">
        <w:rPr>
          <w:sz w:val="28"/>
          <w:szCs w:val="28"/>
          <w:u w:val="single"/>
        </w:rPr>
        <w:t>s</w:t>
      </w:r>
      <w:r w:rsidRPr="00FD59E7">
        <w:rPr>
          <w:sz w:val="28"/>
          <w:szCs w:val="28"/>
          <w:u w:val="single"/>
        </w:rPr>
        <w:t xml:space="preserve"> and </w:t>
      </w:r>
      <w:r w:rsidR="00D32CB2" w:rsidRPr="00FD59E7">
        <w:rPr>
          <w:sz w:val="28"/>
          <w:szCs w:val="28"/>
          <w:u w:val="single"/>
        </w:rPr>
        <w:t>A</w:t>
      </w:r>
      <w:r w:rsidRPr="00FD59E7">
        <w:rPr>
          <w:sz w:val="28"/>
          <w:szCs w:val="28"/>
          <w:u w:val="single"/>
        </w:rPr>
        <w:t xml:space="preserve">dverse </w:t>
      </w:r>
      <w:r w:rsidR="00D32CB2" w:rsidRPr="00FD59E7">
        <w:rPr>
          <w:sz w:val="28"/>
          <w:szCs w:val="28"/>
          <w:u w:val="single"/>
        </w:rPr>
        <w:t>M</w:t>
      </w:r>
      <w:r w:rsidRPr="00FD59E7">
        <w:rPr>
          <w:sz w:val="28"/>
          <w:szCs w:val="28"/>
          <w:u w:val="single"/>
        </w:rPr>
        <w:t xml:space="preserve">edia </w:t>
      </w:r>
      <w:r w:rsidR="00D32CB2" w:rsidRPr="00FD59E7">
        <w:rPr>
          <w:sz w:val="28"/>
          <w:szCs w:val="28"/>
          <w:u w:val="single"/>
        </w:rPr>
        <w:t>S</w:t>
      </w:r>
      <w:r w:rsidRPr="00FD59E7">
        <w:rPr>
          <w:sz w:val="28"/>
          <w:szCs w:val="28"/>
          <w:u w:val="single"/>
        </w:rPr>
        <w:t>creening</w:t>
      </w:r>
    </w:p>
    <w:p w14:paraId="7048349F" w14:textId="1B148448" w:rsidR="00696F32" w:rsidRPr="00F3081F" w:rsidRDefault="00696F32" w:rsidP="002C63DA">
      <w:pPr>
        <w:pStyle w:val="LSSBullets2text"/>
        <w:numPr>
          <w:ilvl w:val="0"/>
          <w:numId w:val="11"/>
        </w:numPr>
        <w:spacing w:line="320" w:lineRule="exact"/>
        <w:rPr>
          <w:noProof/>
          <w:lang w:val="en-GB"/>
        </w:rPr>
      </w:pPr>
      <w:r>
        <w:t xml:space="preserve">Screening should be considered in areas where it will be most useful and effective. As the sanctions regime is absolute, practices should ensure there are appropriate measures in place to ensure they do not undertake </w:t>
      </w:r>
      <w:r w:rsidR="009157AE">
        <w:t>unauthorised</w:t>
      </w:r>
      <w:r>
        <w:t xml:space="preserve"> business with sanctions targets in areas of less risk. Practices should take a risk-based approach to PEP and adverse media screening and how this is completed. </w:t>
      </w:r>
      <w:r w:rsidRPr="00F3081F">
        <w:rPr>
          <w:rFonts w:eastAsia="Arial"/>
        </w:rPr>
        <w:t xml:space="preserve">Please see </w:t>
      </w:r>
      <w:r w:rsidRPr="00FD59E7">
        <w:rPr>
          <w:rFonts w:eastAsia="Arial"/>
        </w:rPr>
        <w:t>sections</w:t>
      </w:r>
      <w:r w:rsidRPr="00F3081F">
        <w:rPr>
          <w:rFonts w:eastAsia="Arial"/>
          <w:b/>
          <w:bCs/>
        </w:rPr>
        <w:t xml:space="preserve"> 5.10, 6.19.3 </w:t>
      </w:r>
      <w:r w:rsidRPr="00FD59E7">
        <w:rPr>
          <w:rFonts w:eastAsia="Arial"/>
        </w:rPr>
        <w:t>and</w:t>
      </w:r>
      <w:r w:rsidRPr="00F3081F">
        <w:rPr>
          <w:rFonts w:eastAsia="Arial"/>
          <w:b/>
          <w:bCs/>
        </w:rPr>
        <w:t xml:space="preserve"> 7.11 </w:t>
      </w:r>
      <w:r w:rsidRPr="00FD59E7">
        <w:rPr>
          <w:rFonts w:eastAsia="Arial"/>
        </w:rPr>
        <w:t>of the LSAG guidance</w:t>
      </w:r>
      <w:r w:rsidRPr="00F3081F">
        <w:rPr>
          <w:rFonts w:eastAsia="Arial"/>
        </w:rPr>
        <w:t xml:space="preserve"> for further information.</w:t>
      </w:r>
    </w:p>
    <w:p w14:paraId="1ECF6240" w14:textId="77777777" w:rsidR="00A43F4C" w:rsidRDefault="00A43F4C" w:rsidP="00A43F4C">
      <w:pPr>
        <w:pStyle w:val="LSSBullets2text"/>
        <w:pBdr>
          <w:bottom w:val="single" w:sz="12" w:space="1" w:color="auto"/>
        </w:pBdr>
        <w:ind w:left="284" w:hanging="284"/>
        <w:rPr>
          <w:lang w:val="en-GB"/>
        </w:rPr>
      </w:pPr>
    </w:p>
    <w:p w14:paraId="21C845CE" w14:textId="77777777" w:rsidR="00EB1510" w:rsidRDefault="00EB1510" w:rsidP="00A43F4C">
      <w:pPr>
        <w:pStyle w:val="LSSBullets2text"/>
        <w:ind w:left="284" w:hanging="284"/>
        <w:rPr>
          <w:lang w:val="en-GB"/>
        </w:rPr>
      </w:pPr>
    </w:p>
    <w:p w14:paraId="7FC66F18" w14:textId="4060C7F0" w:rsidR="00A43F4C" w:rsidRDefault="00A43F4C" w:rsidP="00A43F4C">
      <w:pPr>
        <w:spacing w:line="360" w:lineRule="auto"/>
        <w:rPr>
          <w:b/>
          <w:bCs/>
          <w:color w:val="002C5C"/>
          <w:sz w:val="32"/>
          <w:szCs w:val="32"/>
          <w:lang w:val="en-GB"/>
        </w:rPr>
      </w:pPr>
      <w:r>
        <w:rPr>
          <w:b/>
          <w:bCs/>
          <w:color w:val="002C5C"/>
          <w:sz w:val="32"/>
          <w:szCs w:val="32"/>
          <w:lang w:val="en-GB"/>
        </w:rPr>
        <w:t>MATTER</w:t>
      </w:r>
      <w:r w:rsidRPr="00DD7C3A">
        <w:rPr>
          <w:b/>
          <w:bCs/>
          <w:color w:val="002C5C"/>
          <w:sz w:val="32"/>
          <w:szCs w:val="32"/>
          <w:lang w:val="en-GB"/>
        </w:rPr>
        <w:t xml:space="preserve"> LEVEL RISK ASSESSMENT – RISK FACTORS</w:t>
      </w:r>
    </w:p>
    <w:p w14:paraId="3BDEE716" w14:textId="433C53A8" w:rsidR="004F41E4" w:rsidRPr="00FD59E7" w:rsidRDefault="004F41E4" w:rsidP="00A43F4C">
      <w:pPr>
        <w:spacing w:line="360" w:lineRule="auto"/>
        <w:rPr>
          <w:rStyle w:val="ui-provider"/>
        </w:rPr>
      </w:pPr>
      <w:r w:rsidRPr="00FD59E7">
        <w:rPr>
          <w:rStyle w:val="ui-provider"/>
        </w:rPr>
        <w:t>Matter risk assessments should focus on the specific risk factors that a matter presents, beyond the client risks already identified</w:t>
      </w:r>
      <w:r w:rsidR="00C46820" w:rsidRPr="00FD59E7">
        <w:rPr>
          <w:rStyle w:val="ui-provider"/>
        </w:rPr>
        <w:t xml:space="preserve">. Please see </w:t>
      </w:r>
      <w:r w:rsidR="003C58D9" w:rsidRPr="00FD59E7">
        <w:rPr>
          <w:rStyle w:val="ui-provider"/>
        </w:rPr>
        <w:t>LSAG</w:t>
      </w:r>
      <w:r w:rsidR="00C46820" w:rsidRPr="00FD59E7">
        <w:rPr>
          <w:rStyle w:val="ui-provider"/>
        </w:rPr>
        <w:t xml:space="preserve"> section</w:t>
      </w:r>
      <w:r w:rsidR="003C58D9" w:rsidRPr="00FD59E7">
        <w:rPr>
          <w:rStyle w:val="ui-provider"/>
        </w:rPr>
        <w:t xml:space="preserve"> </w:t>
      </w:r>
      <w:r w:rsidR="003C58D9" w:rsidRPr="00FD59E7">
        <w:rPr>
          <w:rStyle w:val="ui-provider"/>
          <w:b/>
          <w:bCs/>
        </w:rPr>
        <w:t>5.11</w:t>
      </w:r>
      <w:r w:rsidR="00C46820" w:rsidRPr="00FD59E7">
        <w:rPr>
          <w:rStyle w:val="ui-provider"/>
        </w:rPr>
        <w:t xml:space="preserve"> for further information. </w:t>
      </w:r>
      <w:r w:rsidR="003C58D9" w:rsidRPr="00FD59E7">
        <w:rPr>
          <w:rStyle w:val="ui-provider"/>
        </w:rPr>
        <w:t xml:space="preserve"> </w:t>
      </w:r>
    </w:p>
    <w:p w14:paraId="77DFCD41" w14:textId="77777777" w:rsidR="003A586C" w:rsidRPr="00FD59E7" w:rsidRDefault="003A586C" w:rsidP="00A43F4C">
      <w:pPr>
        <w:spacing w:line="360" w:lineRule="auto"/>
        <w:rPr>
          <w:b/>
          <w:color w:val="002C5C"/>
          <w:sz w:val="32"/>
          <w:szCs w:val="32"/>
          <w:lang w:val="en-GB"/>
        </w:rPr>
      </w:pPr>
    </w:p>
    <w:p w14:paraId="2BAC9012" w14:textId="6130C8B9" w:rsidR="006C7423" w:rsidRDefault="006C7423" w:rsidP="002C63DA">
      <w:pPr>
        <w:pStyle w:val="ListParagraph"/>
        <w:numPr>
          <w:ilvl w:val="0"/>
          <w:numId w:val="11"/>
        </w:numPr>
        <w:spacing w:after="160" w:line="252" w:lineRule="auto"/>
      </w:pPr>
      <w:r>
        <w:t>Consider if the transaction / matter is within your area of expertise and, importantly, within your practice’s risk appetite. Being aware of your practices risk appetite is imperative when deciding whether to onboard a client or complete a transaction. Risk appetite is defined as the level of risk a practice is willing to accept. For some practices this may mean that higher risk transactions fall outside of ‘the normal’ risk appetite – e.g.</w:t>
      </w:r>
      <w:r w:rsidR="0098039E">
        <w:t>,</w:t>
      </w:r>
      <w:r>
        <w:t xml:space="preserve"> commercial conveyancing involving cash intensive business when the majority of the work undertaken </w:t>
      </w:r>
      <w:r w:rsidR="005E2BF1">
        <w:t>at your practice</w:t>
      </w:r>
      <w:r w:rsidRPr="00FD59E7">
        <w:t xml:space="preserve"> </w:t>
      </w:r>
      <w:r>
        <w:t xml:space="preserve">is residential conveyancing. </w:t>
      </w:r>
    </w:p>
    <w:p w14:paraId="161FDC4E" w14:textId="77777777" w:rsidR="006C7423" w:rsidRDefault="006C7423" w:rsidP="006C7423">
      <w:pPr>
        <w:pStyle w:val="ListParagraph"/>
        <w:spacing w:after="160" w:line="252" w:lineRule="auto"/>
        <w:ind w:left="360"/>
      </w:pPr>
    </w:p>
    <w:p w14:paraId="5F53670A" w14:textId="77777777" w:rsidR="006C7423" w:rsidRDefault="006C7423" w:rsidP="006C7423">
      <w:pPr>
        <w:pStyle w:val="ListParagraph"/>
        <w:spacing w:after="160" w:line="252" w:lineRule="auto"/>
        <w:ind w:left="360"/>
      </w:pPr>
      <w:r>
        <w:t>When considering risk appetite you should take into account the normal locations, clients, services and sectors in which your practice operates, and the risk level your practice is willing to tolerate as well as governance and decision-making processes.</w:t>
      </w:r>
    </w:p>
    <w:p w14:paraId="521B325F" w14:textId="77777777" w:rsidR="00432A02" w:rsidRDefault="00432A02" w:rsidP="00D11B76">
      <w:pPr>
        <w:pStyle w:val="ListParagraph"/>
        <w:spacing w:after="160" w:line="259" w:lineRule="auto"/>
      </w:pPr>
    </w:p>
    <w:p w14:paraId="3AC7C573" w14:textId="6B05061A" w:rsidR="0040405D" w:rsidRDefault="0040405D" w:rsidP="002C63DA">
      <w:pPr>
        <w:pStyle w:val="ListParagraph"/>
        <w:numPr>
          <w:ilvl w:val="0"/>
          <w:numId w:val="11"/>
        </w:numPr>
        <w:spacing w:after="160" w:line="259" w:lineRule="auto"/>
      </w:pPr>
      <w:r>
        <w:t xml:space="preserve">Under the new money laundering regulation statutory instrument brought in September 2022, the Government brought in the amendments </w:t>
      </w:r>
      <w:r w:rsidRPr="00FD59E7">
        <w:rPr>
          <w:b/>
        </w:rPr>
        <w:t xml:space="preserve">16A, 18A </w:t>
      </w:r>
      <w:r>
        <w:t>and</w:t>
      </w:r>
      <w:r w:rsidRPr="00FD59E7">
        <w:rPr>
          <w:b/>
        </w:rPr>
        <w:t xml:space="preserve"> 19A</w:t>
      </w:r>
      <w:r>
        <w:t xml:space="preserve"> in relation to the proliferation of financing (PF). </w:t>
      </w:r>
    </w:p>
    <w:p w14:paraId="1CEEA605" w14:textId="77777777" w:rsidR="0040405D" w:rsidRDefault="0040405D" w:rsidP="0040405D">
      <w:pPr>
        <w:pStyle w:val="ListParagraph"/>
        <w:spacing w:after="160" w:line="259" w:lineRule="auto"/>
      </w:pPr>
    </w:p>
    <w:p w14:paraId="0A63CE1C" w14:textId="0E67156D" w:rsidR="0040405D" w:rsidRDefault="0098039E" w:rsidP="002C63DA">
      <w:pPr>
        <w:pStyle w:val="ListParagraph"/>
        <w:numPr>
          <w:ilvl w:val="0"/>
          <w:numId w:val="8"/>
        </w:numPr>
        <w:spacing w:after="160" w:line="259" w:lineRule="auto"/>
      </w:pPr>
      <w:r>
        <w:rPr>
          <w:b/>
        </w:rPr>
        <w:t>r</w:t>
      </w:r>
      <w:r w:rsidR="0040405D" w:rsidRPr="00FD59E7">
        <w:rPr>
          <w:b/>
        </w:rPr>
        <w:t>.16A</w:t>
      </w:r>
      <w:r w:rsidR="0040405D">
        <w:t xml:space="preserve"> defines PF</w:t>
      </w:r>
    </w:p>
    <w:p w14:paraId="31E6B5CE" w14:textId="7FBF3935" w:rsidR="0040405D" w:rsidRDefault="0098039E" w:rsidP="002C63DA">
      <w:pPr>
        <w:pStyle w:val="ListParagraph"/>
        <w:numPr>
          <w:ilvl w:val="0"/>
          <w:numId w:val="8"/>
        </w:numPr>
        <w:spacing w:after="160" w:line="259" w:lineRule="auto"/>
      </w:pPr>
      <w:r>
        <w:rPr>
          <w:b/>
        </w:rPr>
        <w:t>r</w:t>
      </w:r>
      <w:r w:rsidR="0040405D" w:rsidRPr="00FD59E7">
        <w:rPr>
          <w:b/>
        </w:rPr>
        <w:t>.18A-19A</w:t>
      </w:r>
      <w:r w:rsidR="0040405D">
        <w:t xml:space="preserve"> further adds the requirement on all practices in scope of the regulations to carry out a practice wide risk assessment incorporating PF and further include PF in their policies, controls</w:t>
      </w:r>
      <w:r w:rsidR="003A51B1">
        <w:t>,</w:t>
      </w:r>
      <w:r w:rsidR="0040405D">
        <w:t xml:space="preserve"> and procedures. </w:t>
      </w:r>
    </w:p>
    <w:p w14:paraId="0BCC18B8" w14:textId="77777777" w:rsidR="0040405D" w:rsidRDefault="0040405D" w:rsidP="0040405D">
      <w:pPr>
        <w:pStyle w:val="ListParagraph"/>
        <w:spacing w:after="160" w:line="259" w:lineRule="auto"/>
        <w:ind w:left="1440"/>
      </w:pPr>
    </w:p>
    <w:p w14:paraId="7AD96B10" w14:textId="69CB28BC" w:rsidR="0040405D" w:rsidRDefault="0040405D" w:rsidP="0040405D">
      <w:pPr>
        <w:pStyle w:val="ListParagraph"/>
        <w:spacing w:after="160" w:line="259" w:lineRule="auto"/>
      </w:pPr>
      <w:r>
        <w:t xml:space="preserve">Further information on this can be found within </w:t>
      </w:r>
      <w:r w:rsidRPr="00FD59E7">
        <w:rPr>
          <w:b/>
        </w:rPr>
        <w:t>r.16A</w:t>
      </w:r>
      <w:r>
        <w:t xml:space="preserve">, </w:t>
      </w:r>
      <w:r w:rsidRPr="00FD59E7">
        <w:rPr>
          <w:b/>
          <w:bCs/>
        </w:rPr>
        <w:t>r</w:t>
      </w:r>
      <w:r w:rsidR="00DB76FC" w:rsidRPr="00FD59E7">
        <w:rPr>
          <w:b/>
          <w:bCs/>
        </w:rPr>
        <w:t>.</w:t>
      </w:r>
      <w:r w:rsidRPr="00FD59E7">
        <w:rPr>
          <w:b/>
          <w:bCs/>
        </w:rPr>
        <w:t>18A</w:t>
      </w:r>
      <w:r w:rsidRPr="00FD59E7">
        <w:rPr>
          <w:b/>
        </w:rPr>
        <w:t>, r19A</w:t>
      </w:r>
      <w:r>
        <w:t xml:space="preserve"> and Guidance on Proliferation Financing Risk Assessment and Mitigation (fatf-gafi.org).</w:t>
      </w:r>
    </w:p>
    <w:p w14:paraId="3CE4DFF4" w14:textId="77777777" w:rsidR="00294F32" w:rsidRDefault="00294F32" w:rsidP="00294F32">
      <w:pPr>
        <w:pStyle w:val="ListParagraph"/>
        <w:spacing w:after="160" w:line="259" w:lineRule="auto"/>
      </w:pPr>
    </w:p>
    <w:p w14:paraId="45C3F412" w14:textId="61EF91F0" w:rsidR="00294F32" w:rsidRPr="00D45E66" w:rsidRDefault="00294F32" w:rsidP="002C63DA">
      <w:pPr>
        <w:pStyle w:val="ListParagraph"/>
        <w:numPr>
          <w:ilvl w:val="0"/>
          <w:numId w:val="11"/>
        </w:numPr>
        <w:spacing w:after="160" w:line="259" w:lineRule="auto"/>
      </w:pPr>
      <w:r w:rsidRPr="00294F32">
        <w:rPr>
          <w:lang w:val="en-GB"/>
        </w:rPr>
        <w:t>For example, conveyancing with additional high-risk factors – e.g., geographical risks / use of TCSP), abnormal or unusual use of trust or company services e.g., nominee shareholders or use of a company or trust with no logical rationale etc.</w:t>
      </w:r>
    </w:p>
    <w:p w14:paraId="3F91414C" w14:textId="77777777" w:rsidR="00D45E66" w:rsidRDefault="00D45E66" w:rsidP="00D45E66">
      <w:pPr>
        <w:spacing w:after="160" w:line="259" w:lineRule="auto"/>
      </w:pPr>
    </w:p>
    <w:p w14:paraId="45A37E0C" w14:textId="77777777" w:rsidR="00D45E66" w:rsidRPr="00424C35" w:rsidRDefault="00D45E66" w:rsidP="00D45E66">
      <w:pPr>
        <w:spacing w:after="160" w:line="259" w:lineRule="auto"/>
      </w:pPr>
    </w:p>
    <w:p w14:paraId="5695CBF7" w14:textId="7BE46D85" w:rsidR="001E43A6" w:rsidRDefault="001E43A6" w:rsidP="001E43A6">
      <w:pPr>
        <w:pStyle w:val="LSSCover1"/>
        <w:rPr>
          <w:sz w:val="28"/>
          <w:szCs w:val="28"/>
          <w:u w:val="single"/>
          <w:lang w:val="en-GB"/>
        </w:rPr>
      </w:pPr>
      <w:r w:rsidRPr="001E43A6">
        <w:rPr>
          <w:sz w:val="28"/>
          <w:szCs w:val="28"/>
          <w:u w:val="single"/>
          <w:lang w:val="en-GB"/>
        </w:rPr>
        <w:lastRenderedPageBreak/>
        <w:t xml:space="preserve">Source of </w:t>
      </w:r>
      <w:r w:rsidR="00F1749A">
        <w:rPr>
          <w:sz w:val="28"/>
          <w:szCs w:val="28"/>
          <w:u w:val="single"/>
          <w:lang w:val="en-GB"/>
        </w:rPr>
        <w:t>F</w:t>
      </w:r>
      <w:r w:rsidRPr="001E43A6">
        <w:rPr>
          <w:sz w:val="28"/>
          <w:szCs w:val="28"/>
          <w:u w:val="single"/>
          <w:lang w:val="en-GB"/>
        </w:rPr>
        <w:t>unds</w:t>
      </w:r>
    </w:p>
    <w:p w14:paraId="5DB635F3" w14:textId="10CA6643" w:rsidR="00DC2016" w:rsidRPr="00DC2016" w:rsidRDefault="00B50357" w:rsidP="002C63DA">
      <w:pPr>
        <w:pStyle w:val="LSSBullets2text"/>
        <w:numPr>
          <w:ilvl w:val="0"/>
          <w:numId w:val="11"/>
        </w:numPr>
        <w:rPr>
          <w:lang w:val="en-GB"/>
        </w:rPr>
      </w:pPr>
      <w:r w:rsidRPr="00E128C8">
        <w:t>A fundamental element of CDD is understanding the nature, background</w:t>
      </w:r>
      <w:r w:rsidR="0098039E" w:rsidRPr="00E128C8">
        <w:t>,</w:t>
      </w:r>
      <w:r w:rsidRPr="00E128C8">
        <w:t xml:space="preserve"> and circumstances of the client, including their financial position – and making an assessment as to whether the legal services provided to the client are in keeping with your understanding of the background and circumstances. The extent to which you must obtain, review and evidence your client’s financial position is dependent upon the risk profile of the client or matter. In enhanced due diligence situations this requirement is more stringent.</w:t>
      </w:r>
      <w:r w:rsidRPr="00E128C8">
        <w:rPr>
          <w:b/>
          <w:bCs/>
        </w:rPr>
        <w:t xml:space="preserve"> </w:t>
      </w:r>
      <w:r w:rsidRPr="00FD59E7">
        <w:t>Section</w:t>
      </w:r>
      <w:r w:rsidRPr="00E128C8">
        <w:rPr>
          <w:b/>
          <w:bCs/>
        </w:rPr>
        <w:t xml:space="preserve"> 6.17 to 6.17.2 </w:t>
      </w:r>
      <w:r w:rsidRPr="00FD59E7">
        <w:t>of the LSAG guidance</w:t>
      </w:r>
      <w:r w:rsidRPr="00E128C8">
        <w:t xml:space="preserve"> provides comprehensive and detailed information on source of funds. </w:t>
      </w:r>
    </w:p>
    <w:p w14:paraId="27A7A57E" w14:textId="77777777" w:rsidR="00DC2016" w:rsidRPr="00DC2016" w:rsidRDefault="00DC2016" w:rsidP="00DC2016">
      <w:pPr>
        <w:pStyle w:val="LSSBullets2text"/>
        <w:ind w:left="720"/>
        <w:rPr>
          <w:lang w:val="en-GB"/>
        </w:rPr>
      </w:pPr>
    </w:p>
    <w:p w14:paraId="0F179920" w14:textId="0C363E6D" w:rsidR="002B77B0" w:rsidRDefault="007A3BA8" w:rsidP="002C63DA">
      <w:pPr>
        <w:pStyle w:val="LSSBullets2text"/>
        <w:numPr>
          <w:ilvl w:val="0"/>
          <w:numId w:val="11"/>
        </w:numPr>
        <w:rPr>
          <w:lang w:val="en-GB"/>
        </w:rPr>
      </w:pPr>
      <w:r w:rsidRPr="00FD59E7">
        <w:t xml:space="preserve">Care should be given when the source of funds </w:t>
      </w:r>
      <w:r w:rsidR="00145F03" w:rsidRPr="00FD59E7">
        <w:t>derives</w:t>
      </w:r>
      <w:r w:rsidRPr="00FD59E7">
        <w:t xml:space="preserve"> from a geographic location which is associated with a higher AML, corruption</w:t>
      </w:r>
      <w:r w:rsidR="003A51B1" w:rsidRPr="00FD59E7">
        <w:t>,</w:t>
      </w:r>
      <w:r w:rsidRPr="00FD59E7">
        <w:t xml:space="preserve"> or criminality risk. Please see sections</w:t>
      </w:r>
      <w:r w:rsidRPr="00FD59E7">
        <w:rPr>
          <w:b/>
        </w:rPr>
        <w:t xml:space="preserve"> 5.6.2.1, 5.6.2.3 </w:t>
      </w:r>
      <w:r w:rsidRPr="00FD59E7">
        <w:t>and</w:t>
      </w:r>
      <w:r w:rsidRPr="00FD59E7">
        <w:rPr>
          <w:b/>
        </w:rPr>
        <w:t xml:space="preserve"> 6.19.</w:t>
      </w:r>
      <w:r w:rsidRPr="00FD59E7">
        <w:t>1 of the LSAG guidance for further information and useful links.</w:t>
      </w:r>
      <w:r w:rsidR="002F1787" w:rsidRPr="00FD59E7">
        <w:rPr>
          <w:lang w:val="en-GB"/>
        </w:rPr>
        <w:t xml:space="preserve"> </w:t>
      </w:r>
      <w:r w:rsidR="00235479" w:rsidRPr="00235479">
        <w:rPr>
          <w:lang w:val="en-GB"/>
        </w:rPr>
        <w:t xml:space="preserve">Please see </w:t>
      </w:r>
      <w:r w:rsidR="00235479" w:rsidRPr="002F1787">
        <w:rPr>
          <w:lang w:val="en-GB"/>
        </w:rPr>
        <w:t xml:space="preserve">sections </w:t>
      </w:r>
      <w:r w:rsidR="00235479" w:rsidRPr="002F1787">
        <w:rPr>
          <w:b/>
          <w:lang w:val="en-GB"/>
        </w:rPr>
        <w:t xml:space="preserve">5.6.2.1, 5.6.2.3 </w:t>
      </w:r>
      <w:r w:rsidR="00235479" w:rsidRPr="002F1787">
        <w:rPr>
          <w:lang w:val="en-GB"/>
        </w:rPr>
        <w:t>&amp;</w:t>
      </w:r>
      <w:r w:rsidR="00235479" w:rsidRPr="002F1787">
        <w:rPr>
          <w:b/>
          <w:lang w:val="en-GB"/>
        </w:rPr>
        <w:t xml:space="preserve"> 6.19.1</w:t>
      </w:r>
      <w:r w:rsidR="00235479" w:rsidRPr="00235479">
        <w:rPr>
          <w:lang w:val="en-GB"/>
        </w:rPr>
        <w:t xml:space="preserve"> of the LSAG guidance for further information and useful links.</w:t>
      </w:r>
    </w:p>
    <w:p w14:paraId="14310FC3" w14:textId="77777777" w:rsidR="008D70E1" w:rsidRDefault="008D70E1" w:rsidP="008D70E1">
      <w:pPr>
        <w:pStyle w:val="ListParagraph"/>
        <w:rPr>
          <w:lang w:val="en-GB"/>
        </w:rPr>
      </w:pPr>
    </w:p>
    <w:p w14:paraId="7678D284" w14:textId="001ABE42" w:rsidR="008D70E1" w:rsidRPr="008B1A69" w:rsidRDefault="00542419" w:rsidP="002C63DA">
      <w:pPr>
        <w:pStyle w:val="LSSBullets2text"/>
        <w:numPr>
          <w:ilvl w:val="0"/>
          <w:numId w:val="11"/>
        </w:numPr>
        <w:rPr>
          <w:lang w:val="en-GB"/>
        </w:rPr>
      </w:pPr>
      <w:r w:rsidRPr="00E128C8">
        <w:t xml:space="preserve">Where you have identified that funds are coming from a third party, you are obliged to verify that person and their source of funds and, where applicable, source of wealth. Please </w:t>
      </w:r>
      <w:r w:rsidRPr="00FD59E7">
        <w:t>see</w:t>
      </w:r>
      <w:r w:rsidRPr="00E128C8">
        <w:rPr>
          <w:b/>
          <w:bCs/>
        </w:rPr>
        <w:t xml:space="preserve"> </w:t>
      </w:r>
      <w:r w:rsidRPr="00FD59E7">
        <w:t>Section</w:t>
      </w:r>
      <w:r w:rsidRPr="00E128C8">
        <w:rPr>
          <w:b/>
          <w:bCs/>
        </w:rPr>
        <w:t xml:space="preserve"> 6.17.2.1 </w:t>
      </w:r>
      <w:r w:rsidRPr="00FD59E7">
        <w:t>of the LSAG guidance</w:t>
      </w:r>
      <w:r w:rsidRPr="00E128C8">
        <w:t xml:space="preserve"> for further information.</w:t>
      </w:r>
    </w:p>
    <w:p w14:paraId="09576AD0" w14:textId="77777777" w:rsidR="008B1A69" w:rsidRDefault="008B1A69" w:rsidP="008B1A69">
      <w:pPr>
        <w:pStyle w:val="ListParagraph"/>
        <w:rPr>
          <w:lang w:val="en-GB"/>
        </w:rPr>
      </w:pPr>
    </w:p>
    <w:p w14:paraId="038AB734" w14:textId="58FD7AAE" w:rsidR="008B7969" w:rsidRPr="00E128C8" w:rsidRDefault="00603ACE" w:rsidP="002C63DA">
      <w:pPr>
        <w:pStyle w:val="ListParagraph"/>
        <w:numPr>
          <w:ilvl w:val="0"/>
          <w:numId w:val="11"/>
        </w:numPr>
        <w:spacing w:after="160" w:line="259" w:lineRule="auto"/>
      </w:pPr>
      <w:r>
        <w:t>Examples may include (but are not limited to):</w:t>
      </w:r>
      <w:r w:rsidR="008B7969" w:rsidRPr="00FD59E7">
        <w:t xml:space="preserve"> </w:t>
      </w:r>
    </w:p>
    <w:p w14:paraId="7BA2F9F6" w14:textId="7C722A91" w:rsidR="008B7969" w:rsidRPr="00E128C8" w:rsidRDefault="008B7969" w:rsidP="002C63DA">
      <w:pPr>
        <w:pStyle w:val="ListParagraph"/>
        <w:numPr>
          <w:ilvl w:val="0"/>
          <w:numId w:val="6"/>
        </w:numPr>
        <w:spacing w:after="160" w:line="259" w:lineRule="auto"/>
      </w:pPr>
      <w:r w:rsidRPr="00E128C8">
        <w:t xml:space="preserve">Regular or round-amount cash payments / deposits </w:t>
      </w:r>
      <w:r w:rsidR="007B6335">
        <w:t>into</w:t>
      </w:r>
      <w:r w:rsidRPr="00E128C8">
        <w:t xml:space="preserve"> the account</w:t>
      </w:r>
    </w:p>
    <w:p w14:paraId="103A0CF5" w14:textId="66C600C5" w:rsidR="008B7969" w:rsidRPr="00E128C8" w:rsidRDefault="008B7969" w:rsidP="002C63DA">
      <w:pPr>
        <w:pStyle w:val="ListParagraph"/>
        <w:numPr>
          <w:ilvl w:val="0"/>
          <w:numId w:val="6"/>
        </w:numPr>
        <w:spacing w:after="160" w:line="259" w:lineRule="auto"/>
      </w:pPr>
      <w:r w:rsidRPr="00E128C8">
        <w:t xml:space="preserve">A lack of what could be described as “normal” current account patterns – </w:t>
      </w:r>
      <w:r w:rsidR="007B6335">
        <w:t>salaries paid</w:t>
      </w:r>
      <w:r w:rsidRPr="00E128C8">
        <w:t xml:space="preserve"> in / bill payments, living expenses </w:t>
      </w:r>
    </w:p>
    <w:p w14:paraId="24897983" w14:textId="6112E5A8" w:rsidR="007B6335" w:rsidRPr="00FD59E7" w:rsidRDefault="007B6335" w:rsidP="002C63DA">
      <w:pPr>
        <w:pStyle w:val="ListParagraph"/>
        <w:numPr>
          <w:ilvl w:val="0"/>
          <w:numId w:val="6"/>
        </w:numPr>
        <w:spacing w:after="160" w:line="259" w:lineRule="auto"/>
      </w:pPr>
      <w:r>
        <w:t>An unusual volume of cash withdrawals or transfers out to third parties</w:t>
      </w:r>
    </w:p>
    <w:p w14:paraId="1E0FCBCD" w14:textId="77777777" w:rsidR="008B7969" w:rsidRDefault="008B7969" w:rsidP="002C63DA">
      <w:pPr>
        <w:pStyle w:val="ListParagraph"/>
        <w:numPr>
          <w:ilvl w:val="0"/>
          <w:numId w:val="6"/>
        </w:numPr>
        <w:spacing w:after="160" w:line="259" w:lineRule="auto"/>
      </w:pPr>
      <w:r w:rsidRPr="00E128C8">
        <w:t>Third party credits that cannot be explained</w:t>
      </w:r>
    </w:p>
    <w:p w14:paraId="26FF2730" w14:textId="21F197DE" w:rsidR="007B6335" w:rsidRDefault="007B6335" w:rsidP="002C63DA">
      <w:pPr>
        <w:pStyle w:val="ListParagraph"/>
        <w:numPr>
          <w:ilvl w:val="0"/>
          <w:numId w:val="6"/>
        </w:numPr>
        <w:spacing w:after="160" w:line="259" w:lineRule="auto"/>
      </w:pPr>
      <w:r>
        <w:t>A high volume of gambling activity</w:t>
      </w:r>
      <w:r w:rsidR="001B3D36">
        <w:t xml:space="preserve"> – especially when outside of the clients financial means</w:t>
      </w:r>
    </w:p>
    <w:p w14:paraId="7F330EE3" w14:textId="456FF388" w:rsidR="007B6335" w:rsidRPr="00FD59E7" w:rsidRDefault="007B6335" w:rsidP="002C63DA">
      <w:pPr>
        <w:pStyle w:val="ListParagraph"/>
        <w:numPr>
          <w:ilvl w:val="0"/>
          <w:numId w:val="6"/>
        </w:numPr>
        <w:spacing w:after="160" w:line="259" w:lineRule="auto"/>
      </w:pPr>
      <w:r>
        <w:t>Means tested benefit credits, alongside a salary</w:t>
      </w:r>
    </w:p>
    <w:p w14:paraId="10FDD154" w14:textId="77777777" w:rsidR="00851DFC" w:rsidRDefault="00851DFC" w:rsidP="00851DFC">
      <w:pPr>
        <w:pStyle w:val="ListParagraph"/>
        <w:spacing w:after="160" w:line="259" w:lineRule="auto"/>
        <w:ind w:left="1080"/>
      </w:pPr>
    </w:p>
    <w:p w14:paraId="3F472E6E" w14:textId="1CB12F4E" w:rsidR="00851DFC" w:rsidRDefault="00851DFC" w:rsidP="002C63DA">
      <w:pPr>
        <w:pStyle w:val="ListParagraph"/>
        <w:numPr>
          <w:ilvl w:val="0"/>
          <w:numId w:val="11"/>
        </w:numPr>
        <w:spacing w:after="240" w:line="320" w:lineRule="exact"/>
      </w:pPr>
      <w:r w:rsidRPr="00E128C8">
        <w:t xml:space="preserve">The Law Society of Scotland has recently released an updated FAQ on the use of crypto derived funds. Please see </w:t>
      </w:r>
      <w:hyperlink r:id="rId25" w:history="1">
        <w:r w:rsidRPr="00E128C8">
          <w:rPr>
            <w:rStyle w:val="Hyperlink"/>
          </w:rPr>
          <w:t>AML FAQs | Law Society of Scotland (lawscot.org.uk)</w:t>
        </w:r>
      </w:hyperlink>
      <w:r w:rsidRPr="00E128C8">
        <w:t xml:space="preserve"> for further information.</w:t>
      </w:r>
    </w:p>
    <w:p w14:paraId="2CA220F2" w14:textId="2A54EC15" w:rsidR="008A42D8" w:rsidRDefault="008A42D8" w:rsidP="008A42D8">
      <w:pPr>
        <w:pStyle w:val="LSSCover1"/>
        <w:rPr>
          <w:sz w:val="28"/>
          <w:szCs w:val="28"/>
          <w:u w:val="single"/>
          <w:lang w:val="en-GB"/>
        </w:rPr>
      </w:pPr>
      <w:r w:rsidRPr="001E43A6">
        <w:rPr>
          <w:sz w:val="28"/>
          <w:szCs w:val="28"/>
          <w:u w:val="single"/>
          <w:lang w:val="en-GB"/>
        </w:rPr>
        <w:t xml:space="preserve">Source of </w:t>
      </w:r>
      <w:r>
        <w:rPr>
          <w:sz w:val="28"/>
          <w:szCs w:val="28"/>
          <w:u w:val="single"/>
          <w:lang w:val="en-GB"/>
        </w:rPr>
        <w:t>weal</w:t>
      </w:r>
      <w:r w:rsidR="002B1560">
        <w:rPr>
          <w:sz w:val="28"/>
          <w:szCs w:val="28"/>
          <w:u w:val="single"/>
          <w:lang w:val="en-GB"/>
        </w:rPr>
        <w:t xml:space="preserve">th </w:t>
      </w:r>
      <w:r w:rsidR="002B1560" w:rsidRPr="002B1560">
        <w:rPr>
          <w:i/>
          <w:iCs/>
          <w:sz w:val="22"/>
          <w:szCs w:val="22"/>
          <w:u w:val="single"/>
          <w:lang w:val="en-GB"/>
        </w:rPr>
        <w:t>(if applicable)</w:t>
      </w:r>
    </w:p>
    <w:p w14:paraId="15CF160D" w14:textId="7B441016" w:rsidR="000512B2" w:rsidRDefault="005B1875" w:rsidP="002C63DA">
      <w:pPr>
        <w:pStyle w:val="LSSBullets2text"/>
        <w:numPr>
          <w:ilvl w:val="0"/>
          <w:numId w:val="11"/>
        </w:numPr>
      </w:pPr>
      <w:r>
        <w:t xml:space="preserve">Source of Wealth </w:t>
      </w:r>
      <w:r w:rsidRPr="005B1875">
        <w:t>refers to the origin of a client’s entire body of wealth</w:t>
      </w:r>
      <w:r>
        <w:t>. It de</w:t>
      </w:r>
      <w:r w:rsidR="000512B2" w:rsidRPr="001D075B">
        <w:t>scribes the economic, business and/or commercial activities that generated, or significantly contributed to, the client’s overall net worth/entire body of wealth.</w:t>
      </w:r>
      <w:r w:rsidR="000512B2" w:rsidRPr="000512B2">
        <w:rPr>
          <w:b/>
          <w:bCs/>
        </w:rPr>
        <w:t xml:space="preserve"> </w:t>
      </w:r>
      <w:r w:rsidR="000512B2" w:rsidRPr="00FD59E7">
        <w:t>Section</w:t>
      </w:r>
      <w:r w:rsidR="000512B2" w:rsidRPr="000512B2">
        <w:rPr>
          <w:b/>
          <w:bCs/>
        </w:rPr>
        <w:t xml:space="preserve"> 6.17.3 </w:t>
      </w:r>
      <w:r w:rsidR="000512B2" w:rsidRPr="00FD59E7">
        <w:t>and</w:t>
      </w:r>
      <w:r w:rsidR="000512B2" w:rsidRPr="000512B2">
        <w:rPr>
          <w:b/>
          <w:bCs/>
        </w:rPr>
        <w:t xml:space="preserve"> 6.18 </w:t>
      </w:r>
      <w:r w:rsidR="000512B2" w:rsidRPr="00FD59E7">
        <w:t>of the LSAG guidance</w:t>
      </w:r>
      <w:r w:rsidR="000512B2" w:rsidRPr="001D075B">
        <w:t xml:space="preserve"> provides comprehensive and detailed information on source of wealth.</w:t>
      </w:r>
    </w:p>
    <w:p w14:paraId="015E8AB2" w14:textId="77777777" w:rsidR="003954AE" w:rsidRDefault="003954AE" w:rsidP="003954AE">
      <w:pPr>
        <w:pStyle w:val="LSSBullets2text"/>
        <w:ind w:left="720"/>
      </w:pPr>
    </w:p>
    <w:p w14:paraId="689C614A" w14:textId="2B4D45B1" w:rsidR="00944424" w:rsidRDefault="00904B35" w:rsidP="002C63DA">
      <w:pPr>
        <w:pStyle w:val="LSSBullets2text"/>
        <w:numPr>
          <w:ilvl w:val="0"/>
          <w:numId w:val="11"/>
        </w:numPr>
      </w:pPr>
      <w:r>
        <w:t>C</w:t>
      </w:r>
      <w:r w:rsidR="00D06D6B">
        <w:t>onsideration should be given on whether the c</w:t>
      </w:r>
      <w:r w:rsidR="00D06D6B" w:rsidRPr="00D06D6B">
        <w:t>lient ha</w:t>
      </w:r>
      <w:r w:rsidR="00D06D6B">
        <w:t>s</w:t>
      </w:r>
      <w:r w:rsidR="00D06D6B" w:rsidRPr="00D06D6B">
        <w:t xml:space="preserve"> a clear and documented legitimate business generating income</w:t>
      </w:r>
      <w:r w:rsidR="003954AE">
        <w:t>.</w:t>
      </w:r>
      <w:r w:rsidR="00D06D6B" w:rsidRPr="00D06D6B">
        <w:t xml:space="preserve"> </w:t>
      </w:r>
      <w:r w:rsidR="003954AE">
        <w:t>Have you seen p</w:t>
      </w:r>
      <w:r w:rsidR="00D06D6B" w:rsidRPr="00D06D6B">
        <w:t>ublic info</w:t>
      </w:r>
      <w:r w:rsidR="003954AE">
        <w:t>rmation</w:t>
      </w:r>
      <w:r w:rsidR="00D06D6B" w:rsidRPr="00D06D6B">
        <w:t xml:space="preserve"> snapshots</w:t>
      </w:r>
      <w:r w:rsidR="003954AE">
        <w:t xml:space="preserve"> to verify this?</w:t>
      </w:r>
    </w:p>
    <w:p w14:paraId="23F4C96C" w14:textId="77777777" w:rsidR="00BD5A39" w:rsidRDefault="00BD5A39" w:rsidP="00BD5A39">
      <w:pPr>
        <w:pStyle w:val="LSSCover1"/>
        <w:rPr>
          <w:sz w:val="28"/>
          <w:szCs w:val="28"/>
          <w:u w:val="single"/>
        </w:rPr>
      </w:pPr>
      <w:r w:rsidRPr="001D075B">
        <w:rPr>
          <w:sz w:val="28"/>
          <w:szCs w:val="28"/>
          <w:u w:val="single"/>
        </w:rPr>
        <w:t>Reliance</w:t>
      </w:r>
    </w:p>
    <w:p w14:paraId="29E1462E" w14:textId="416BE3E9" w:rsidR="00BD5A39" w:rsidRDefault="00BD5A39" w:rsidP="002C63DA">
      <w:pPr>
        <w:pStyle w:val="ListParagraph"/>
        <w:numPr>
          <w:ilvl w:val="0"/>
          <w:numId w:val="11"/>
        </w:numPr>
        <w:spacing w:after="160" w:line="259" w:lineRule="auto"/>
      </w:pPr>
      <w:r w:rsidRPr="00F724E5">
        <w:t xml:space="preserve">Reliance has a specific meaning within the Regulations and relates to the process under </w:t>
      </w:r>
      <w:r w:rsidR="0098039E" w:rsidRPr="00B40B5E">
        <w:rPr>
          <w:b/>
          <w:bCs/>
        </w:rPr>
        <w:t>r.</w:t>
      </w:r>
      <w:r w:rsidRPr="00B40B5E">
        <w:rPr>
          <w:b/>
          <w:bCs/>
        </w:rPr>
        <w:t>39</w:t>
      </w:r>
      <w:r w:rsidRPr="00F724E5">
        <w:t xml:space="preserve"> where, in certain circumstances, you may rely on another person to conduct CDD for you, subject to their agreement.</w:t>
      </w:r>
      <w:r w:rsidRPr="008B31CB">
        <w:rPr>
          <w:b/>
          <w:bCs/>
        </w:rPr>
        <w:t xml:space="preserve"> </w:t>
      </w:r>
      <w:r w:rsidR="0098039E">
        <w:rPr>
          <w:b/>
          <w:bCs/>
        </w:rPr>
        <w:t>r</w:t>
      </w:r>
      <w:r w:rsidR="00087A4F" w:rsidRPr="00FD59E7">
        <w:rPr>
          <w:b/>
          <w:bCs/>
        </w:rPr>
        <w:t>.</w:t>
      </w:r>
      <w:r w:rsidRPr="008B31CB">
        <w:rPr>
          <w:b/>
          <w:bCs/>
        </w:rPr>
        <w:t>39</w:t>
      </w:r>
      <w:r w:rsidRPr="00F724E5">
        <w:t xml:space="preserve"> provides a full definition of what constitutes Reliance and who can be relied </w:t>
      </w:r>
      <w:r w:rsidRPr="00F724E5">
        <w:lastRenderedPageBreak/>
        <w:t xml:space="preserve">upon. Please see </w:t>
      </w:r>
      <w:r w:rsidRPr="00FD59E7">
        <w:t>Section</w:t>
      </w:r>
      <w:r w:rsidRPr="008B31CB">
        <w:rPr>
          <w:b/>
          <w:bCs/>
        </w:rPr>
        <w:t xml:space="preserve"> 6.23 </w:t>
      </w:r>
      <w:r w:rsidRPr="00FD59E7">
        <w:t>of the LSAG guidance</w:t>
      </w:r>
      <w:r w:rsidRPr="00F724E5">
        <w:t xml:space="preserve"> provides further information. Please note that accepting certified documentation from a suitable person does not constitute Reliance. </w:t>
      </w:r>
    </w:p>
    <w:p w14:paraId="50C5264A" w14:textId="77777777" w:rsidR="00573EFC" w:rsidRDefault="00573EFC" w:rsidP="00573EFC">
      <w:pPr>
        <w:pStyle w:val="LSSCover1"/>
        <w:rPr>
          <w:sz w:val="28"/>
          <w:szCs w:val="28"/>
          <w:u w:val="single"/>
        </w:rPr>
      </w:pPr>
      <w:r w:rsidRPr="00F724E5">
        <w:rPr>
          <w:sz w:val="28"/>
          <w:szCs w:val="28"/>
          <w:u w:val="single"/>
        </w:rPr>
        <w:t>Risk Appetite consideration</w:t>
      </w:r>
    </w:p>
    <w:p w14:paraId="4BCE873F" w14:textId="0C1BC6DA" w:rsidR="008A42D8" w:rsidRPr="00600FA1" w:rsidRDefault="00600FA1" w:rsidP="002C63DA">
      <w:pPr>
        <w:pStyle w:val="ListParagraph"/>
        <w:numPr>
          <w:ilvl w:val="0"/>
          <w:numId w:val="11"/>
        </w:numPr>
      </w:pPr>
      <w:r w:rsidRPr="00600FA1">
        <w:t>It is recommended that the most recent practice wide risk assessment approved by your senior management documents the practices risk appetite. Should the client or matter be outside of your practice’s risk appetite, you may wish to consider seeking senior management/MLRO approval. This approval should be documented. Further information on risk appetite can be found within guidance note 13.</w:t>
      </w:r>
    </w:p>
    <w:p w14:paraId="1ACF2884" w14:textId="7FC61515" w:rsidR="005D3E4C" w:rsidRDefault="005D3E4C" w:rsidP="005D3E4C">
      <w:pPr>
        <w:pStyle w:val="LSSCover1"/>
      </w:pPr>
      <w:r>
        <w:rPr>
          <w:sz w:val="28"/>
          <w:szCs w:val="28"/>
          <w:u w:val="single"/>
        </w:rPr>
        <w:t>Escalation/Senior management</w:t>
      </w:r>
      <w:r w:rsidRPr="00F724E5">
        <w:rPr>
          <w:sz w:val="28"/>
          <w:szCs w:val="28"/>
          <w:u w:val="single"/>
        </w:rPr>
        <w:t xml:space="preserve"> </w:t>
      </w:r>
      <w:r>
        <w:rPr>
          <w:sz w:val="28"/>
          <w:szCs w:val="28"/>
          <w:u w:val="single"/>
        </w:rPr>
        <w:t>approval</w:t>
      </w:r>
    </w:p>
    <w:p w14:paraId="2FCF72AD" w14:textId="7103D433" w:rsidR="00A43F4C" w:rsidRPr="00262B0C" w:rsidRDefault="005D3E4C" w:rsidP="002C63DA">
      <w:pPr>
        <w:pStyle w:val="ListParagraph"/>
        <w:numPr>
          <w:ilvl w:val="0"/>
          <w:numId w:val="11"/>
        </w:numPr>
      </w:pPr>
      <w:r>
        <w:t>Gaining senior management approval is mandatory under certain circumstances – i.e</w:t>
      </w:r>
      <w:r w:rsidR="0098039E">
        <w:t>.,</w:t>
      </w:r>
      <w:r>
        <w:t xml:space="preserve"> in matters which involve onboarding a PEP or a client from a high-risk third country. However, dependent on the size and nature of your practice, it could be considered best practice to have an escalation procedure for client and matters which are of higher inherent risk following completion of your client and matter level risk assessment. </w:t>
      </w:r>
    </w:p>
    <w:sectPr w:rsidR="00A43F4C" w:rsidRPr="00262B0C" w:rsidSect="00E41367">
      <w:headerReference w:type="even" r:id="rId26"/>
      <w:headerReference w:type="default" r:id="rId27"/>
      <w:footerReference w:type="default" r:id="rId28"/>
      <w:headerReference w:type="first" r:id="rId29"/>
      <w:pgSz w:w="11900" w:h="16840"/>
      <w:pgMar w:top="2268" w:right="737" w:bottom="284" w:left="73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26FAA" w14:textId="77777777" w:rsidR="00E8313F" w:rsidRDefault="00E8313F" w:rsidP="004A1254">
      <w:r>
        <w:separator/>
      </w:r>
    </w:p>
    <w:p w14:paraId="7F42A0D3" w14:textId="77777777" w:rsidR="00E8313F" w:rsidRDefault="00E8313F" w:rsidP="004A1254"/>
  </w:endnote>
  <w:endnote w:type="continuationSeparator" w:id="0">
    <w:p w14:paraId="14217680" w14:textId="77777777" w:rsidR="00E8313F" w:rsidRDefault="00E8313F" w:rsidP="004A1254">
      <w:r>
        <w:continuationSeparator/>
      </w:r>
    </w:p>
    <w:p w14:paraId="62CBC4D8" w14:textId="77777777" w:rsidR="00E8313F" w:rsidRDefault="00E8313F" w:rsidP="004A1254"/>
  </w:endnote>
  <w:endnote w:type="continuationNotice" w:id="1">
    <w:p w14:paraId="71F0BD0E" w14:textId="77777777" w:rsidR="00E8313F" w:rsidRDefault="00E831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F3D0" w14:textId="77777777" w:rsidR="00C770E4" w:rsidRDefault="00C770E4" w:rsidP="00852EDF">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FC26A4" w14:textId="77777777" w:rsidR="00C770E4" w:rsidRDefault="00C770E4" w:rsidP="00E9321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D1BD9" w14:textId="77777777" w:rsidR="00C770E4" w:rsidRPr="00852EDF" w:rsidRDefault="00C770E4" w:rsidP="00F03C36">
    <w:pPr>
      <w:framePr w:wrap="around" w:vAnchor="text" w:hAnchor="margin" w:xAlign="right" w:y="1"/>
      <w:rPr>
        <w:rStyle w:val="PageNumber"/>
        <w:sz w:val="18"/>
        <w:szCs w:val="18"/>
      </w:rPr>
    </w:pPr>
    <w:r w:rsidRPr="00852EDF">
      <w:rPr>
        <w:rStyle w:val="PageNumber"/>
        <w:sz w:val="18"/>
        <w:szCs w:val="18"/>
      </w:rPr>
      <w:t xml:space="preserve">Page </w:t>
    </w:r>
    <w:r w:rsidRPr="00852EDF">
      <w:rPr>
        <w:rStyle w:val="PageNumber"/>
        <w:sz w:val="18"/>
        <w:szCs w:val="18"/>
      </w:rPr>
      <w:fldChar w:fldCharType="begin"/>
    </w:r>
    <w:r w:rsidRPr="00852EDF">
      <w:rPr>
        <w:rStyle w:val="PageNumber"/>
        <w:sz w:val="18"/>
        <w:szCs w:val="18"/>
      </w:rPr>
      <w:instrText xml:space="preserve">PAGE  </w:instrText>
    </w:r>
    <w:r w:rsidRPr="00852EDF">
      <w:rPr>
        <w:rStyle w:val="PageNumber"/>
        <w:sz w:val="18"/>
        <w:szCs w:val="18"/>
      </w:rPr>
      <w:fldChar w:fldCharType="separate"/>
    </w:r>
    <w:r w:rsidR="007839B2">
      <w:rPr>
        <w:rStyle w:val="PageNumber"/>
        <w:noProof/>
        <w:sz w:val="18"/>
        <w:szCs w:val="18"/>
      </w:rPr>
      <w:t>4</w:t>
    </w:r>
    <w:r w:rsidRPr="00852EDF">
      <w:rPr>
        <w:rStyle w:val="PageNumber"/>
        <w:sz w:val="18"/>
        <w:szCs w:val="18"/>
      </w:rPr>
      <w:fldChar w:fldCharType="end"/>
    </w:r>
  </w:p>
  <w:p w14:paraId="35724B6B" w14:textId="77777777" w:rsidR="00C770E4" w:rsidRDefault="00C770E4" w:rsidP="00E93211">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377A3" w14:textId="4B42662E" w:rsidR="00C770E4" w:rsidRPr="007839B2" w:rsidRDefault="00C770E4" w:rsidP="00783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004A0" w14:textId="77777777" w:rsidR="00E8313F" w:rsidRPr="00ED6246" w:rsidRDefault="00E8313F" w:rsidP="00ED6246">
      <w:pPr>
        <w:pStyle w:val="Footer"/>
      </w:pPr>
    </w:p>
  </w:footnote>
  <w:footnote w:type="continuationSeparator" w:id="0">
    <w:p w14:paraId="129E2968" w14:textId="77777777" w:rsidR="00E8313F" w:rsidRDefault="00E8313F" w:rsidP="004A1254">
      <w:r>
        <w:continuationSeparator/>
      </w:r>
    </w:p>
  </w:footnote>
  <w:footnote w:type="continuationNotice" w:id="1">
    <w:p w14:paraId="215B8381" w14:textId="77777777" w:rsidR="00E8313F" w:rsidRPr="00ED6246" w:rsidRDefault="00E8313F" w:rsidP="00ED6246">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0EA1" w14:textId="5BE5D137" w:rsidR="00A369A3" w:rsidRDefault="00A369A3">
    <w:pPr>
      <w:pStyle w:val="Header"/>
    </w:pPr>
    <w:r>
      <w:rPr>
        <w:noProof/>
      </w:rPr>
      <mc:AlternateContent>
        <mc:Choice Requires="wps">
          <w:drawing>
            <wp:anchor distT="0" distB="0" distL="0" distR="0" simplePos="0" relativeHeight="251668481" behindDoc="0" locked="0" layoutInCell="1" allowOverlap="1" wp14:anchorId="1A980DAA" wp14:editId="5C7B64E8">
              <wp:simplePos x="635" y="635"/>
              <wp:positionH relativeFrom="page">
                <wp:align>center</wp:align>
              </wp:positionH>
              <wp:positionV relativeFrom="page">
                <wp:align>top</wp:align>
              </wp:positionV>
              <wp:extent cx="443865" cy="443865"/>
              <wp:effectExtent l="0" t="0" r="17780" b="16510"/>
              <wp:wrapNone/>
              <wp:docPr id="836072026" name="Text Box 2" descr="REGULATION -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2C5BA0" w14:textId="41C401D6" w:rsidR="00A369A3" w:rsidRPr="00A369A3" w:rsidRDefault="00A369A3" w:rsidP="00A369A3">
                          <w:pPr>
                            <w:rPr>
                              <w:rFonts w:ascii="Calibri" w:eastAsia="Calibri" w:hAnsi="Calibri" w:cs="Calibri"/>
                              <w:noProof/>
                              <w:color w:val="000000"/>
                              <w:sz w:val="20"/>
                              <w:szCs w:val="20"/>
                            </w:rPr>
                          </w:pPr>
                          <w:r w:rsidRPr="00A369A3">
                            <w:rPr>
                              <w:rFonts w:ascii="Calibri" w:eastAsia="Calibri" w:hAnsi="Calibri" w:cs="Calibri"/>
                              <w:noProof/>
                              <w:color w:val="000000"/>
                              <w:sz w:val="20"/>
                              <w:szCs w:val="20"/>
                            </w:rPr>
                            <w:t>REGULATION -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A980DAA" id="_x0000_t202" coordsize="21600,21600" o:spt="202" path="m,l,21600r21600,l21600,xe">
              <v:stroke joinstyle="miter"/>
              <v:path gradientshapeok="t" o:connecttype="rect"/>
            </v:shapetype>
            <v:shape id="Text Box 2" o:spid="_x0000_s1026" type="#_x0000_t202" alt="REGULATION - SENSITIVE" style="position:absolute;margin-left:0;margin-top:0;width:34.95pt;height:34.95pt;z-index:25166848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752C5BA0" w14:textId="41C401D6" w:rsidR="00A369A3" w:rsidRPr="00A369A3" w:rsidRDefault="00A369A3" w:rsidP="00A369A3">
                    <w:pPr>
                      <w:rPr>
                        <w:rFonts w:ascii="Calibri" w:eastAsia="Calibri" w:hAnsi="Calibri" w:cs="Calibri"/>
                        <w:noProof/>
                        <w:color w:val="000000"/>
                        <w:sz w:val="20"/>
                        <w:szCs w:val="20"/>
                      </w:rPr>
                    </w:pPr>
                    <w:r w:rsidRPr="00A369A3">
                      <w:rPr>
                        <w:rFonts w:ascii="Calibri" w:eastAsia="Calibri" w:hAnsi="Calibri" w:cs="Calibri"/>
                        <w:noProof/>
                        <w:color w:val="000000"/>
                        <w:sz w:val="20"/>
                        <w:szCs w:val="20"/>
                      </w:rPr>
                      <w:t>REGULATION - SENSITIVE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0D40" w14:textId="632D6B64" w:rsidR="00C770E4" w:rsidRDefault="00A369A3" w:rsidP="004A1254">
    <w:pPr>
      <w:pStyle w:val="Header"/>
    </w:pPr>
    <w:r>
      <w:rPr>
        <w:noProof/>
        <w:lang w:val="en-GB" w:eastAsia="en-GB"/>
      </w:rPr>
      <mc:AlternateContent>
        <mc:Choice Requires="wps">
          <w:drawing>
            <wp:anchor distT="0" distB="0" distL="0" distR="0" simplePos="0" relativeHeight="251669505" behindDoc="0" locked="0" layoutInCell="1" allowOverlap="1" wp14:anchorId="607DC8F2" wp14:editId="7EA91409">
              <wp:simplePos x="635" y="635"/>
              <wp:positionH relativeFrom="page">
                <wp:align>center</wp:align>
              </wp:positionH>
              <wp:positionV relativeFrom="page">
                <wp:align>top</wp:align>
              </wp:positionV>
              <wp:extent cx="443865" cy="443865"/>
              <wp:effectExtent l="0" t="0" r="17780" b="16510"/>
              <wp:wrapNone/>
              <wp:docPr id="1307388227" name="Text Box 3" descr="REGULATION -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4F12F9" w14:textId="13979D39" w:rsidR="00A369A3" w:rsidRPr="00A369A3" w:rsidRDefault="00A369A3" w:rsidP="00A369A3">
                          <w:pPr>
                            <w:rPr>
                              <w:rFonts w:ascii="Calibri" w:eastAsia="Calibri" w:hAnsi="Calibri" w:cs="Calibri"/>
                              <w:noProof/>
                              <w:color w:val="000000"/>
                              <w:sz w:val="20"/>
                              <w:szCs w:val="20"/>
                            </w:rPr>
                          </w:pPr>
                          <w:r w:rsidRPr="00A369A3">
                            <w:rPr>
                              <w:rFonts w:ascii="Calibri" w:eastAsia="Calibri" w:hAnsi="Calibri" w:cs="Calibri"/>
                              <w:noProof/>
                              <w:color w:val="000000"/>
                              <w:sz w:val="20"/>
                              <w:szCs w:val="20"/>
                            </w:rPr>
                            <w:t>REGULATION -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07DC8F2" id="_x0000_t202" coordsize="21600,21600" o:spt="202" path="m,l,21600r21600,l21600,xe">
              <v:stroke joinstyle="miter"/>
              <v:path gradientshapeok="t" o:connecttype="rect"/>
            </v:shapetype>
            <v:shape id="Text Box 3" o:spid="_x0000_s1027" type="#_x0000_t202" alt="REGULATION - SENSITIVE" style="position:absolute;margin-left:0;margin-top:0;width:34.95pt;height:34.95pt;z-index:25166950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2B4F12F9" w14:textId="13979D39" w:rsidR="00A369A3" w:rsidRPr="00A369A3" w:rsidRDefault="00A369A3" w:rsidP="00A369A3">
                    <w:pPr>
                      <w:rPr>
                        <w:rFonts w:ascii="Calibri" w:eastAsia="Calibri" w:hAnsi="Calibri" w:cs="Calibri"/>
                        <w:noProof/>
                        <w:color w:val="000000"/>
                        <w:sz w:val="20"/>
                        <w:szCs w:val="20"/>
                      </w:rPr>
                    </w:pPr>
                    <w:r w:rsidRPr="00A369A3">
                      <w:rPr>
                        <w:rFonts w:ascii="Calibri" w:eastAsia="Calibri" w:hAnsi="Calibri" w:cs="Calibri"/>
                        <w:noProof/>
                        <w:color w:val="000000"/>
                        <w:sz w:val="20"/>
                        <w:szCs w:val="20"/>
                      </w:rPr>
                      <w:t>REGULATION - SENSITIVE</w:t>
                    </w:r>
                  </w:p>
                </w:txbxContent>
              </v:textbox>
              <w10:wrap anchorx="page" anchory="page"/>
            </v:shape>
          </w:pict>
        </mc:Fallback>
      </mc:AlternateContent>
    </w:r>
    <w:r w:rsidR="00C770E4">
      <w:rPr>
        <w:noProof/>
        <w:lang w:val="en-GB" w:eastAsia="en-GB"/>
      </w:rPr>
      <w:drawing>
        <wp:anchor distT="0" distB="0" distL="114300" distR="114300" simplePos="0" relativeHeight="251664385" behindDoc="1" locked="0" layoutInCell="1" allowOverlap="1" wp14:anchorId="7D7E3C87" wp14:editId="5EC8440F">
          <wp:simplePos x="0" y="0"/>
          <wp:positionH relativeFrom="page">
            <wp:align>center</wp:align>
          </wp:positionH>
          <wp:positionV relativeFrom="page">
            <wp:posOffset>180340</wp:posOffset>
          </wp:positionV>
          <wp:extent cx="7200000" cy="7403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74030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9B84" w14:textId="2D4048EF" w:rsidR="00C770E4" w:rsidRPr="0025503C" w:rsidRDefault="00A369A3" w:rsidP="004A1254">
    <w:pPr>
      <w:pStyle w:val="Header"/>
    </w:pPr>
    <w:r>
      <w:rPr>
        <w:noProof/>
        <w:lang w:val="en-GB" w:eastAsia="en-GB"/>
      </w:rPr>
      <mc:AlternateContent>
        <mc:Choice Requires="wps">
          <w:drawing>
            <wp:anchor distT="0" distB="0" distL="0" distR="0" simplePos="0" relativeHeight="251667457" behindDoc="0" locked="0" layoutInCell="1" allowOverlap="1" wp14:anchorId="163ACE05" wp14:editId="5D295C35">
              <wp:simplePos x="635" y="635"/>
              <wp:positionH relativeFrom="page">
                <wp:align>center</wp:align>
              </wp:positionH>
              <wp:positionV relativeFrom="page">
                <wp:align>top</wp:align>
              </wp:positionV>
              <wp:extent cx="443865" cy="443865"/>
              <wp:effectExtent l="0" t="0" r="17780" b="16510"/>
              <wp:wrapNone/>
              <wp:docPr id="423524729" name="Text Box 1" descr="REGULATION -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8ABC5A" w14:textId="7068889C" w:rsidR="00A369A3" w:rsidRPr="00A369A3" w:rsidRDefault="00A369A3" w:rsidP="00A369A3">
                          <w:pPr>
                            <w:rPr>
                              <w:rFonts w:ascii="Calibri" w:eastAsia="Calibri" w:hAnsi="Calibri" w:cs="Calibri"/>
                              <w:noProof/>
                              <w:color w:val="000000"/>
                              <w:sz w:val="20"/>
                              <w:szCs w:val="20"/>
                            </w:rPr>
                          </w:pPr>
                          <w:r w:rsidRPr="00A369A3">
                            <w:rPr>
                              <w:rFonts w:ascii="Calibri" w:eastAsia="Calibri" w:hAnsi="Calibri" w:cs="Calibri"/>
                              <w:noProof/>
                              <w:color w:val="000000"/>
                              <w:sz w:val="20"/>
                              <w:szCs w:val="20"/>
                            </w:rPr>
                            <w:t>REGULATION -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63ACE05" id="_x0000_t202" coordsize="21600,21600" o:spt="202" path="m,l,21600r21600,l21600,xe">
              <v:stroke joinstyle="miter"/>
              <v:path gradientshapeok="t" o:connecttype="rect"/>
            </v:shapetype>
            <v:shape id="Text Box 1" o:spid="_x0000_s1028" type="#_x0000_t202" alt="REGULATION - SENSITIVE" style="position:absolute;margin-left:0;margin-top:0;width:34.95pt;height:34.95pt;z-index:251667457;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078ABC5A" w14:textId="7068889C" w:rsidR="00A369A3" w:rsidRPr="00A369A3" w:rsidRDefault="00A369A3" w:rsidP="00A369A3">
                    <w:pPr>
                      <w:rPr>
                        <w:rFonts w:ascii="Calibri" w:eastAsia="Calibri" w:hAnsi="Calibri" w:cs="Calibri"/>
                        <w:noProof/>
                        <w:color w:val="000000"/>
                        <w:sz w:val="20"/>
                        <w:szCs w:val="20"/>
                      </w:rPr>
                    </w:pPr>
                    <w:r w:rsidRPr="00A369A3">
                      <w:rPr>
                        <w:rFonts w:ascii="Calibri" w:eastAsia="Calibri" w:hAnsi="Calibri" w:cs="Calibri"/>
                        <w:noProof/>
                        <w:color w:val="000000"/>
                        <w:sz w:val="20"/>
                        <w:szCs w:val="20"/>
                      </w:rPr>
                      <w:t>REGULATION - SENSITIVE</w:t>
                    </w:r>
                  </w:p>
                </w:txbxContent>
              </v:textbox>
              <w10:wrap anchorx="page" anchory="page"/>
            </v:shape>
          </w:pict>
        </mc:Fallback>
      </mc:AlternateContent>
    </w:r>
    <w:r w:rsidR="00C770E4">
      <w:rPr>
        <w:noProof/>
        <w:lang w:val="en-GB" w:eastAsia="en-GB"/>
      </w:rPr>
      <w:drawing>
        <wp:anchor distT="0" distB="0" distL="114300" distR="114300" simplePos="0" relativeHeight="251666433" behindDoc="1" locked="0" layoutInCell="1" allowOverlap="1" wp14:anchorId="60D2CA66" wp14:editId="11AB82CD">
          <wp:simplePos x="0" y="0"/>
          <wp:positionH relativeFrom="page">
            <wp:posOffset>0</wp:posOffset>
          </wp:positionH>
          <wp:positionV relativeFrom="page">
            <wp:posOffset>0</wp:posOffset>
          </wp:positionV>
          <wp:extent cx="7560000" cy="10693893"/>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cov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89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89B0E" w14:textId="26E631F0" w:rsidR="00A369A3" w:rsidRDefault="00A369A3">
    <w:pPr>
      <w:pStyle w:val="Header"/>
    </w:pPr>
    <w:r>
      <w:rPr>
        <w:noProof/>
      </w:rPr>
      <mc:AlternateContent>
        <mc:Choice Requires="wps">
          <w:drawing>
            <wp:anchor distT="0" distB="0" distL="0" distR="0" simplePos="0" relativeHeight="251671553" behindDoc="0" locked="0" layoutInCell="1" allowOverlap="1" wp14:anchorId="6816994E" wp14:editId="3C10B0B1">
              <wp:simplePos x="635" y="635"/>
              <wp:positionH relativeFrom="page">
                <wp:align>center</wp:align>
              </wp:positionH>
              <wp:positionV relativeFrom="page">
                <wp:align>top</wp:align>
              </wp:positionV>
              <wp:extent cx="443865" cy="443865"/>
              <wp:effectExtent l="0" t="0" r="17780" b="16510"/>
              <wp:wrapNone/>
              <wp:docPr id="954980083" name="Text Box 5" descr="REGULATION -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110CF6" w14:textId="7F2B232A" w:rsidR="00A369A3" w:rsidRPr="00A369A3" w:rsidRDefault="00A369A3" w:rsidP="00A369A3">
                          <w:pPr>
                            <w:rPr>
                              <w:rFonts w:ascii="Calibri" w:eastAsia="Calibri" w:hAnsi="Calibri" w:cs="Calibri"/>
                              <w:noProof/>
                              <w:color w:val="000000"/>
                              <w:sz w:val="20"/>
                              <w:szCs w:val="20"/>
                            </w:rPr>
                          </w:pPr>
                          <w:r w:rsidRPr="00A369A3">
                            <w:rPr>
                              <w:rFonts w:ascii="Calibri" w:eastAsia="Calibri" w:hAnsi="Calibri" w:cs="Calibri"/>
                              <w:noProof/>
                              <w:color w:val="000000"/>
                              <w:sz w:val="20"/>
                              <w:szCs w:val="20"/>
                            </w:rPr>
                            <w:t>REGULATION -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816994E" id="_x0000_t202" coordsize="21600,21600" o:spt="202" path="m,l,21600r21600,l21600,xe">
              <v:stroke joinstyle="miter"/>
              <v:path gradientshapeok="t" o:connecttype="rect"/>
            </v:shapetype>
            <v:shape id="Text Box 5" o:spid="_x0000_s1029" type="#_x0000_t202" alt="REGULATION - SENSITIVE" style="position:absolute;margin-left:0;margin-top:0;width:34.95pt;height:34.95pt;z-index:25167155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4E110CF6" w14:textId="7F2B232A" w:rsidR="00A369A3" w:rsidRPr="00A369A3" w:rsidRDefault="00A369A3" w:rsidP="00A369A3">
                    <w:pPr>
                      <w:rPr>
                        <w:rFonts w:ascii="Calibri" w:eastAsia="Calibri" w:hAnsi="Calibri" w:cs="Calibri"/>
                        <w:noProof/>
                        <w:color w:val="000000"/>
                        <w:sz w:val="20"/>
                        <w:szCs w:val="20"/>
                      </w:rPr>
                    </w:pPr>
                    <w:r w:rsidRPr="00A369A3">
                      <w:rPr>
                        <w:rFonts w:ascii="Calibri" w:eastAsia="Calibri" w:hAnsi="Calibri" w:cs="Calibri"/>
                        <w:noProof/>
                        <w:color w:val="000000"/>
                        <w:sz w:val="20"/>
                        <w:szCs w:val="20"/>
                      </w:rPr>
                      <w:t>REGULATION - SENSITIVE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63B9" w14:textId="6C63BEE2" w:rsidR="00A369A3" w:rsidRDefault="00A369A3">
    <w:pPr>
      <w:pStyle w:val="Header"/>
    </w:pPr>
    <w:r>
      <w:rPr>
        <w:noProof/>
      </w:rPr>
      <mc:AlternateContent>
        <mc:Choice Requires="wps">
          <w:drawing>
            <wp:anchor distT="0" distB="0" distL="0" distR="0" simplePos="0" relativeHeight="251672577" behindDoc="0" locked="0" layoutInCell="1" allowOverlap="1" wp14:anchorId="499EC56F" wp14:editId="263DE2A7">
              <wp:simplePos x="635" y="635"/>
              <wp:positionH relativeFrom="page">
                <wp:align>center</wp:align>
              </wp:positionH>
              <wp:positionV relativeFrom="page">
                <wp:align>top</wp:align>
              </wp:positionV>
              <wp:extent cx="443865" cy="443865"/>
              <wp:effectExtent l="0" t="0" r="17780" b="16510"/>
              <wp:wrapNone/>
              <wp:docPr id="1101551859" name="Text Box 6" descr="REGULATION -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63F79F" w14:textId="021F884D" w:rsidR="00A369A3" w:rsidRPr="00A369A3" w:rsidRDefault="00A369A3" w:rsidP="00A369A3">
                          <w:pPr>
                            <w:rPr>
                              <w:rFonts w:ascii="Calibri" w:eastAsia="Calibri" w:hAnsi="Calibri" w:cs="Calibri"/>
                              <w:noProof/>
                              <w:color w:val="000000"/>
                              <w:sz w:val="20"/>
                              <w:szCs w:val="20"/>
                            </w:rPr>
                          </w:pPr>
                          <w:r w:rsidRPr="00A369A3">
                            <w:rPr>
                              <w:rFonts w:ascii="Calibri" w:eastAsia="Calibri" w:hAnsi="Calibri" w:cs="Calibri"/>
                              <w:noProof/>
                              <w:color w:val="000000"/>
                              <w:sz w:val="20"/>
                              <w:szCs w:val="20"/>
                            </w:rPr>
                            <w:t>REGULATION -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99EC56F" id="_x0000_t202" coordsize="21600,21600" o:spt="202" path="m,l,21600r21600,l21600,xe">
              <v:stroke joinstyle="miter"/>
              <v:path gradientshapeok="t" o:connecttype="rect"/>
            </v:shapetype>
            <v:shape id="Text Box 6" o:spid="_x0000_s1030" type="#_x0000_t202" alt="REGULATION - SENSITIVE" style="position:absolute;margin-left:0;margin-top:0;width:34.95pt;height:34.95pt;z-index:251672577;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5C63F79F" w14:textId="021F884D" w:rsidR="00A369A3" w:rsidRPr="00A369A3" w:rsidRDefault="00A369A3" w:rsidP="00A369A3">
                    <w:pPr>
                      <w:rPr>
                        <w:rFonts w:ascii="Calibri" w:eastAsia="Calibri" w:hAnsi="Calibri" w:cs="Calibri"/>
                        <w:noProof/>
                        <w:color w:val="000000"/>
                        <w:sz w:val="20"/>
                        <w:szCs w:val="20"/>
                      </w:rPr>
                    </w:pPr>
                    <w:r w:rsidRPr="00A369A3">
                      <w:rPr>
                        <w:rFonts w:ascii="Calibri" w:eastAsia="Calibri" w:hAnsi="Calibri" w:cs="Calibri"/>
                        <w:noProof/>
                        <w:color w:val="000000"/>
                        <w:sz w:val="20"/>
                        <w:szCs w:val="20"/>
                      </w:rPr>
                      <w:t>REGULATION - SENSITIVE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88BC" w14:textId="48ED3A2C" w:rsidR="00A369A3" w:rsidRDefault="00A369A3">
    <w:pPr>
      <w:pStyle w:val="Header"/>
    </w:pPr>
    <w:r>
      <w:rPr>
        <w:noProof/>
      </w:rPr>
      <mc:AlternateContent>
        <mc:Choice Requires="wps">
          <w:drawing>
            <wp:anchor distT="0" distB="0" distL="0" distR="0" simplePos="0" relativeHeight="251670529" behindDoc="0" locked="0" layoutInCell="1" allowOverlap="1" wp14:anchorId="4FDD9415" wp14:editId="06C79606">
              <wp:simplePos x="635" y="635"/>
              <wp:positionH relativeFrom="page">
                <wp:align>center</wp:align>
              </wp:positionH>
              <wp:positionV relativeFrom="page">
                <wp:align>top</wp:align>
              </wp:positionV>
              <wp:extent cx="443865" cy="443865"/>
              <wp:effectExtent l="0" t="0" r="17780" b="16510"/>
              <wp:wrapNone/>
              <wp:docPr id="530169982" name="Text Box 4" descr="REGULATION -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16A2B9" w14:textId="3E6D7907" w:rsidR="00A369A3" w:rsidRPr="00A369A3" w:rsidRDefault="00A369A3" w:rsidP="00A369A3">
                          <w:pPr>
                            <w:rPr>
                              <w:rFonts w:ascii="Calibri" w:eastAsia="Calibri" w:hAnsi="Calibri" w:cs="Calibri"/>
                              <w:noProof/>
                              <w:color w:val="000000"/>
                              <w:sz w:val="20"/>
                              <w:szCs w:val="20"/>
                            </w:rPr>
                          </w:pPr>
                          <w:r w:rsidRPr="00A369A3">
                            <w:rPr>
                              <w:rFonts w:ascii="Calibri" w:eastAsia="Calibri" w:hAnsi="Calibri" w:cs="Calibri"/>
                              <w:noProof/>
                              <w:color w:val="000000"/>
                              <w:sz w:val="20"/>
                              <w:szCs w:val="20"/>
                            </w:rPr>
                            <w:t>REGULATION -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FDD9415" id="_x0000_t202" coordsize="21600,21600" o:spt="202" path="m,l,21600r21600,l21600,xe">
              <v:stroke joinstyle="miter"/>
              <v:path gradientshapeok="t" o:connecttype="rect"/>
            </v:shapetype>
            <v:shape id="Text Box 4" o:spid="_x0000_s1031" type="#_x0000_t202" alt="REGULATION - SENSITIVE" style="position:absolute;margin-left:0;margin-top:0;width:34.95pt;height:34.95pt;z-index:251670529;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4B16A2B9" w14:textId="3E6D7907" w:rsidR="00A369A3" w:rsidRPr="00A369A3" w:rsidRDefault="00A369A3" w:rsidP="00A369A3">
                    <w:pPr>
                      <w:rPr>
                        <w:rFonts w:ascii="Calibri" w:eastAsia="Calibri" w:hAnsi="Calibri" w:cs="Calibri"/>
                        <w:noProof/>
                        <w:color w:val="000000"/>
                        <w:sz w:val="20"/>
                        <w:szCs w:val="20"/>
                      </w:rPr>
                    </w:pPr>
                    <w:r w:rsidRPr="00A369A3">
                      <w:rPr>
                        <w:rFonts w:ascii="Calibri" w:eastAsia="Calibri" w:hAnsi="Calibri" w:cs="Calibri"/>
                        <w:noProof/>
                        <w:color w:val="000000"/>
                        <w:sz w:val="20"/>
                        <w:szCs w:val="20"/>
                      </w:rPr>
                      <w:t>REGULATION - SENSITIVE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67325D62"/>
    <w:styleLink w:val="CurrentList1"/>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1D188D3A"/>
    <w:styleLink w:val="LSMainBullets"/>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0B273DA"/>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083C5B4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99011BC"/>
    <w:multiLevelType w:val="hybridMultilevel"/>
    <w:tmpl w:val="1AD4A4D4"/>
    <w:lvl w:ilvl="0" w:tplc="A3B4A27E">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883114"/>
    <w:multiLevelType w:val="hybridMultilevel"/>
    <w:tmpl w:val="2C68022C"/>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247B45E4"/>
    <w:multiLevelType w:val="hybridMultilevel"/>
    <w:tmpl w:val="18502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92917"/>
    <w:multiLevelType w:val="hybridMultilevel"/>
    <w:tmpl w:val="0D608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AA38E1"/>
    <w:multiLevelType w:val="hybridMultilevel"/>
    <w:tmpl w:val="5F88582A"/>
    <w:lvl w:ilvl="0" w:tplc="08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47054673"/>
    <w:multiLevelType w:val="hybridMultilevel"/>
    <w:tmpl w:val="E2A0A7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7891699"/>
    <w:multiLevelType w:val="hybridMultilevel"/>
    <w:tmpl w:val="3DFC74C0"/>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55375EB4"/>
    <w:multiLevelType w:val="hybridMultilevel"/>
    <w:tmpl w:val="D80CDE78"/>
    <w:lvl w:ilvl="0" w:tplc="5A38711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0B098C"/>
    <w:multiLevelType w:val="hybridMultilevel"/>
    <w:tmpl w:val="83A01B8E"/>
    <w:lvl w:ilvl="0" w:tplc="7B2EFD7A">
      <w:start w:val="1"/>
      <w:numFmt w:val="decimal"/>
      <w:lvlText w:val="%1."/>
      <w:lvlJc w:val="left"/>
      <w:pPr>
        <w:ind w:left="72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471C43"/>
    <w:multiLevelType w:val="hybridMultilevel"/>
    <w:tmpl w:val="3AA6600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7B4E07A">
      <w:numFmt w:val="bullet"/>
      <w:lvlText w:val="•"/>
      <w:lvlJc w:val="left"/>
      <w:pPr>
        <w:ind w:left="2880" w:hanging="360"/>
      </w:pPr>
      <w:rPr>
        <w:rFonts w:ascii="Arial" w:eastAsiaTheme="minorEastAsia" w:hAnsi="Arial" w:cs="Aria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68A5486"/>
    <w:multiLevelType w:val="hybridMultilevel"/>
    <w:tmpl w:val="D038B1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691674A"/>
    <w:multiLevelType w:val="hybridMultilevel"/>
    <w:tmpl w:val="A82C0F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02907705">
    <w:abstractNumId w:val="3"/>
  </w:num>
  <w:num w:numId="2" w16cid:durableId="1896042677">
    <w:abstractNumId w:val="2"/>
  </w:num>
  <w:num w:numId="3" w16cid:durableId="854535451">
    <w:abstractNumId w:val="1"/>
  </w:num>
  <w:num w:numId="4" w16cid:durableId="1377121590">
    <w:abstractNumId w:val="0"/>
  </w:num>
  <w:num w:numId="5" w16cid:durableId="1963682729">
    <w:abstractNumId w:val="13"/>
  </w:num>
  <w:num w:numId="6" w16cid:durableId="48186486">
    <w:abstractNumId w:val="10"/>
  </w:num>
  <w:num w:numId="7" w16cid:durableId="1953584957">
    <w:abstractNumId w:val="11"/>
  </w:num>
  <w:num w:numId="8" w16cid:durableId="534124672">
    <w:abstractNumId w:val="9"/>
  </w:num>
  <w:num w:numId="9" w16cid:durableId="659820008">
    <w:abstractNumId w:val="14"/>
  </w:num>
  <w:num w:numId="10" w16cid:durableId="991718348">
    <w:abstractNumId w:val="5"/>
  </w:num>
  <w:num w:numId="11" w16cid:durableId="187641976">
    <w:abstractNumId w:val="12"/>
  </w:num>
  <w:num w:numId="12" w16cid:durableId="1105148913">
    <w:abstractNumId w:val="15"/>
  </w:num>
  <w:num w:numId="13" w16cid:durableId="98379882">
    <w:abstractNumId w:val="7"/>
  </w:num>
  <w:num w:numId="14" w16cid:durableId="58595917">
    <w:abstractNumId w:val="6"/>
  </w:num>
  <w:num w:numId="15" w16cid:durableId="1059325648">
    <w:abstractNumId w:val="4"/>
  </w:num>
  <w:num w:numId="16" w16cid:durableId="1455293210">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85"/>
    <w:rsid w:val="0000415E"/>
    <w:rsid w:val="00005676"/>
    <w:rsid w:val="00030A22"/>
    <w:rsid w:val="000431FB"/>
    <w:rsid w:val="00044FED"/>
    <w:rsid w:val="000466A5"/>
    <w:rsid w:val="000512B2"/>
    <w:rsid w:val="00053ACC"/>
    <w:rsid w:val="00056E81"/>
    <w:rsid w:val="00064600"/>
    <w:rsid w:val="00080152"/>
    <w:rsid w:val="000875AD"/>
    <w:rsid w:val="00087A4F"/>
    <w:rsid w:val="00091368"/>
    <w:rsid w:val="00095D94"/>
    <w:rsid w:val="000B0348"/>
    <w:rsid w:val="000E0329"/>
    <w:rsid w:val="000E0AF6"/>
    <w:rsid w:val="000F0A2D"/>
    <w:rsid w:val="000F3286"/>
    <w:rsid w:val="000F461E"/>
    <w:rsid w:val="00101A08"/>
    <w:rsid w:val="001102EA"/>
    <w:rsid w:val="00116305"/>
    <w:rsid w:val="0011743C"/>
    <w:rsid w:val="00125912"/>
    <w:rsid w:val="0013002A"/>
    <w:rsid w:val="001300B2"/>
    <w:rsid w:val="001431D3"/>
    <w:rsid w:val="00143D9C"/>
    <w:rsid w:val="00145F03"/>
    <w:rsid w:val="00147104"/>
    <w:rsid w:val="00150A2C"/>
    <w:rsid w:val="00152871"/>
    <w:rsid w:val="00155634"/>
    <w:rsid w:val="00174D6D"/>
    <w:rsid w:val="001856E0"/>
    <w:rsid w:val="0018672B"/>
    <w:rsid w:val="001A0C47"/>
    <w:rsid w:val="001B0D84"/>
    <w:rsid w:val="001B3D36"/>
    <w:rsid w:val="001C2ACD"/>
    <w:rsid w:val="001D075B"/>
    <w:rsid w:val="001E43A6"/>
    <w:rsid w:val="001E4C26"/>
    <w:rsid w:val="001F7E1D"/>
    <w:rsid w:val="0020030B"/>
    <w:rsid w:val="00201CC7"/>
    <w:rsid w:val="00217695"/>
    <w:rsid w:val="002221CB"/>
    <w:rsid w:val="00222D2E"/>
    <w:rsid w:val="00223545"/>
    <w:rsid w:val="00225C1A"/>
    <w:rsid w:val="00235479"/>
    <w:rsid w:val="002355E6"/>
    <w:rsid w:val="00240046"/>
    <w:rsid w:val="00245D36"/>
    <w:rsid w:val="00253F4B"/>
    <w:rsid w:val="0025503C"/>
    <w:rsid w:val="002559F2"/>
    <w:rsid w:val="00262B0C"/>
    <w:rsid w:val="00283838"/>
    <w:rsid w:val="00294F32"/>
    <w:rsid w:val="00296D17"/>
    <w:rsid w:val="002A0DA1"/>
    <w:rsid w:val="002B1560"/>
    <w:rsid w:val="002B5846"/>
    <w:rsid w:val="002B5C07"/>
    <w:rsid w:val="002B6F0B"/>
    <w:rsid w:val="002B77B0"/>
    <w:rsid w:val="002C63DA"/>
    <w:rsid w:val="002E1F66"/>
    <w:rsid w:val="002E3609"/>
    <w:rsid w:val="002F1787"/>
    <w:rsid w:val="003041B6"/>
    <w:rsid w:val="003624FD"/>
    <w:rsid w:val="00363DBE"/>
    <w:rsid w:val="0038176C"/>
    <w:rsid w:val="003836CD"/>
    <w:rsid w:val="00385B56"/>
    <w:rsid w:val="00387BD1"/>
    <w:rsid w:val="00390520"/>
    <w:rsid w:val="00392D57"/>
    <w:rsid w:val="003954AE"/>
    <w:rsid w:val="003A51B1"/>
    <w:rsid w:val="003A586C"/>
    <w:rsid w:val="003B1C36"/>
    <w:rsid w:val="003B66AA"/>
    <w:rsid w:val="003C2A28"/>
    <w:rsid w:val="003C58D9"/>
    <w:rsid w:val="003D62ED"/>
    <w:rsid w:val="003D7316"/>
    <w:rsid w:val="003E5AEB"/>
    <w:rsid w:val="003F06CD"/>
    <w:rsid w:val="003F3E44"/>
    <w:rsid w:val="0040405D"/>
    <w:rsid w:val="004049DC"/>
    <w:rsid w:val="00404D19"/>
    <w:rsid w:val="00414C9D"/>
    <w:rsid w:val="00424C35"/>
    <w:rsid w:val="0042630A"/>
    <w:rsid w:val="00432A02"/>
    <w:rsid w:val="00437399"/>
    <w:rsid w:val="00443615"/>
    <w:rsid w:val="00460848"/>
    <w:rsid w:val="00460A25"/>
    <w:rsid w:val="00460A44"/>
    <w:rsid w:val="004672B5"/>
    <w:rsid w:val="004713C7"/>
    <w:rsid w:val="0048365A"/>
    <w:rsid w:val="004A1254"/>
    <w:rsid w:val="004B0B2B"/>
    <w:rsid w:val="004C2180"/>
    <w:rsid w:val="004C2B1D"/>
    <w:rsid w:val="004C33F8"/>
    <w:rsid w:val="004D1209"/>
    <w:rsid w:val="004D50C1"/>
    <w:rsid w:val="004F41E4"/>
    <w:rsid w:val="004F5973"/>
    <w:rsid w:val="00510A37"/>
    <w:rsid w:val="00542419"/>
    <w:rsid w:val="00546ED2"/>
    <w:rsid w:val="00547506"/>
    <w:rsid w:val="00555B4E"/>
    <w:rsid w:val="00556DD1"/>
    <w:rsid w:val="00570E26"/>
    <w:rsid w:val="00573EFC"/>
    <w:rsid w:val="005B1875"/>
    <w:rsid w:val="005D13A9"/>
    <w:rsid w:val="005D3E4C"/>
    <w:rsid w:val="005E1311"/>
    <w:rsid w:val="005E2BF1"/>
    <w:rsid w:val="005E7268"/>
    <w:rsid w:val="00600FA1"/>
    <w:rsid w:val="00603ACE"/>
    <w:rsid w:val="00603ECE"/>
    <w:rsid w:val="006041B7"/>
    <w:rsid w:val="00607112"/>
    <w:rsid w:val="00613D8A"/>
    <w:rsid w:val="00621810"/>
    <w:rsid w:val="006352C2"/>
    <w:rsid w:val="006500CC"/>
    <w:rsid w:val="006554AA"/>
    <w:rsid w:val="00657E39"/>
    <w:rsid w:val="00696F32"/>
    <w:rsid w:val="006B1AF1"/>
    <w:rsid w:val="006C3521"/>
    <w:rsid w:val="006C4243"/>
    <w:rsid w:val="006C5055"/>
    <w:rsid w:val="006C7423"/>
    <w:rsid w:val="006E41FB"/>
    <w:rsid w:val="006E5851"/>
    <w:rsid w:val="00700FF3"/>
    <w:rsid w:val="00701222"/>
    <w:rsid w:val="00707885"/>
    <w:rsid w:val="0072684B"/>
    <w:rsid w:val="00727728"/>
    <w:rsid w:val="00740567"/>
    <w:rsid w:val="007405E2"/>
    <w:rsid w:val="00756216"/>
    <w:rsid w:val="007727AF"/>
    <w:rsid w:val="0077487D"/>
    <w:rsid w:val="00780ABB"/>
    <w:rsid w:val="007839B2"/>
    <w:rsid w:val="007939D7"/>
    <w:rsid w:val="00794734"/>
    <w:rsid w:val="007A23C5"/>
    <w:rsid w:val="007A38DC"/>
    <w:rsid w:val="007A3BA8"/>
    <w:rsid w:val="007B1B5F"/>
    <w:rsid w:val="007B5740"/>
    <w:rsid w:val="007B6335"/>
    <w:rsid w:val="007E4C56"/>
    <w:rsid w:val="008002F6"/>
    <w:rsid w:val="00815855"/>
    <w:rsid w:val="008323DC"/>
    <w:rsid w:val="008415C1"/>
    <w:rsid w:val="008476D1"/>
    <w:rsid w:val="00847B7E"/>
    <w:rsid w:val="00851DFC"/>
    <w:rsid w:val="00852EDF"/>
    <w:rsid w:val="008537E5"/>
    <w:rsid w:val="00855FA3"/>
    <w:rsid w:val="00867708"/>
    <w:rsid w:val="00873B5A"/>
    <w:rsid w:val="00875AB0"/>
    <w:rsid w:val="00876946"/>
    <w:rsid w:val="00881FE7"/>
    <w:rsid w:val="008A42D8"/>
    <w:rsid w:val="008B1A69"/>
    <w:rsid w:val="008B31CB"/>
    <w:rsid w:val="008B7969"/>
    <w:rsid w:val="008C75DF"/>
    <w:rsid w:val="008D0CD4"/>
    <w:rsid w:val="008D11F8"/>
    <w:rsid w:val="008D3C14"/>
    <w:rsid w:val="008D70E1"/>
    <w:rsid w:val="008E02C0"/>
    <w:rsid w:val="008E4D02"/>
    <w:rsid w:val="008E61EA"/>
    <w:rsid w:val="008F6A42"/>
    <w:rsid w:val="00900140"/>
    <w:rsid w:val="00904039"/>
    <w:rsid w:val="00904B35"/>
    <w:rsid w:val="0090793A"/>
    <w:rsid w:val="00911F1B"/>
    <w:rsid w:val="009157AE"/>
    <w:rsid w:val="009239FF"/>
    <w:rsid w:val="0092463D"/>
    <w:rsid w:val="00924AE3"/>
    <w:rsid w:val="00944424"/>
    <w:rsid w:val="00945662"/>
    <w:rsid w:val="00952B20"/>
    <w:rsid w:val="00963F27"/>
    <w:rsid w:val="0097421D"/>
    <w:rsid w:val="0098039E"/>
    <w:rsid w:val="00985F85"/>
    <w:rsid w:val="00986DB2"/>
    <w:rsid w:val="00990177"/>
    <w:rsid w:val="009A571D"/>
    <w:rsid w:val="009B0686"/>
    <w:rsid w:val="009B27CD"/>
    <w:rsid w:val="009C016F"/>
    <w:rsid w:val="009C1968"/>
    <w:rsid w:val="009D6FEE"/>
    <w:rsid w:val="009E6807"/>
    <w:rsid w:val="009F0923"/>
    <w:rsid w:val="009F271E"/>
    <w:rsid w:val="009F2C25"/>
    <w:rsid w:val="00A02037"/>
    <w:rsid w:val="00A0505F"/>
    <w:rsid w:val="00A20D4E"/>
    <w:rsid w:val="00A32151"/>
    <w:rsid w:val="00A324C7"/>
    <w:rsid w:val="00A369A3"/>
    <w:rsid w:val="00A43F4C"/>
    <w:rsid w:val="00A47DAE"/>
    <w:rsid w:val="00A62C96"/>
    <w:rsid w:val="00A660BA"/>
    <w:rsid w:val="00A742BD"/>
    <w:rsid w:val="00A749DA"/>
    <w:rsid w:val="00A829BA"/>
    <w:rsid w:val="00A914D7"/>
    <w:rsid w:val="00A94D4C"/>
    <w:rsid w:val="00A97BF5"/>
    <w:rsid w:val="00AA5938"/>
    <w:rsid w:val="00AB2E59"/>
    <w:rsid w:val="00AB5BE9"/>
    <w:rsid w:val="00AB61CC"/>
    <w:rsid w:val="00AB647F"/>
    <w:rsid w:val="00AD38AE"/>
    <w:rsid w:val="00AF7213"/>
    <w:rsid w:val="00B15C1C"/>
    <w:rsid w:val="00B226C8"/>
    <w:rsid w:val="00B276E3"/>
    <w:rsid w:val="00B34204"/>
    <w:rsid w:val="00B36703"/>
    <w:rsid w:val="00B3787F"/>
    <w:rsid w:val="00B40B5E"/>
    <w:rsid w:val="00B43A77"/>
    <w:rsid w:val="00B50357"/>
    <w:rsid w:val="00B50ADD"/>
    <w:rsid w:val="00B73E7B"/>
    <w:rsid w:val="00B976CD"/>
    <w:rsid w:val="00BA13EB"/>
    <w:rsid w:val="00BC34EC"/>
    <w:rsid w:val="00BD5A39"/>
    <w:rsid w:val="00BF0C7A"/>
    <w:rsid w:val="00BF5A0E"/>
    <w:rsid w:val="00C122AF"/>
    <w:rsid w:val="00C26B82"/>
    <w:rsid w:val="00C46820"/>
    <w:rsid w:val="00C554E4"/>
    <w:rsid w:val="00C5727D"/>
    <w:rsid w:val="00C6372C"/>
    <w:rsid w:val="00C770E4"/>
    <w:rsid w:val="00C8703F"/>
    <w:rsid w:val="00C8745B"/>
    <w:rsid w:val="00CA1F09"/>
    <w:rsid w:val="00CA3126"/>
    <w:rsid w:val="00CB53FB"/>
    <w:rsid w:val="00CF7D62"/>
    <w:rsid w:val="00D00A7B"/>
    <w:rsid w:val="00D046B2"/>
    <w:rsid w:val="00D05C6C"/>
    <w:rsid w:val="00D06D6B"/>
    <w:rsid w:val="00D11B76"/>
    <w:rsid w:val="00D15F4A"/>
    <w:rsid w:val="00D319CC"/>
    <w:rsid w:val="00D31FB2"/>
    <w:rsid w:val="00D320EC"/>
    <w:rsid w:val="00D32CB2"/>
    <w:rsid w:val="00D364CD"/>
    <w:rsid w:val="00D400AB"/>
    <w:rsid w:val="00D45E66"/>
    <w:rsid w:val="00D46C80"/>
    <w:rsid w:val="00D539C9"/>
    <w:rsid w:val="00D723B9"/>
    <w:rsid w:val="00D823EA"/>
    <w:rsid w:val="00DB1C09"/>
    <w:rsid w:val="00DB76FC"/>
    <w:rsid w:val="00DC2016"/>
    <w:rsid w:val="00DD0864"/>
    <w:rsid w:val="00DD7C3A"/>
    <w:rsid w:val="00DE076B"/>
    <w:rsid w:val="00DE1329"/>
    <w:rsid w:val="00DE70BC"/>
    <w:rsid w:val="00DF3401"/>
    <w:rsid w:val="00E12015"/>
    <w:rsid w:val="00E128C8"/>
    <w:rsid w:val="00E13702"/>
    <w:rsid w:val="00E139D0"/>
    <w:rsid w:val="00E14B58"/>
    <w:rsid w:val="00E246DE"/>
    <w:rsid w:val="00E33EAE"/>
    <w:rsid w:val="00E40B26"/>
    <w:rsid w:val="00E41367"/>
    <w:rsid w:val="00E45262"/>
    <w:rsid w:val="00E57687"/>
    <w:rsid w:val="00E63060"/>
    <w:rsid w:val="00E636C3"/>
    <w:rsid w:val="00E6650A"/>
    <w:rsid w:val="00E801E4"/>
    <w:rsid w:val="00E8313F"/>
    <w:rsid w:val="00E93211"/>
    <w:rsid w:val="00E97B3F"/>
    <w:rsid w:val="00EA67CC"/>
    <w:rsid w:val="00EB1510"/>
    <w:rsid w:val="00EB3ED4"/>
    <w:rsid w:val="00EC3E80"/>
    <w:rsid w:val="00EC6EED"/>
    <w:rsid w:val="00ED451B"/>
    <w:rsid w:val="00ED6246"/>
    <w:rsid w:val="00ED69BA"/>
    <w:rsid w:val="00ED6C3D"/>
    <w:rsid w:val="00EE7ECD"/>
    <w:rsid w:val="00F03C36"/>
    <w:rsid w:val="00F1515C"/>
    <w:rsid w:val="00F1749A"/>
    <w:rsid w:val="00F21360"/>
    <w:rsid w:val="00F24CF9"/>
    <w:rsid w:val="00F3081F"/>
    <w:rsid w:val="00F4154F"/>
    <w:rsid w:val="00F41DAA"/>
    <w:rsid w:val="00F436D6"/>
    <w:rsid w:val="00F4563E"/>
    <w:rsid w:val="00F47101"/>
    <w:rsid w:val="00F5042F"/>
    <w:rsid w:val="00F724E5"/>
    <w:rsid w:val="00F72ED2"/>
    <w:rsid w:val="00F92D30"/>
    <w:rsid w:val="00FA6D9D"/>
    <w:rsid w:val="00FB0E07"/>
    <w:rsid w:val="00FB5C67"/>
    <w:rsid w:val="00FC1A8F"/>
    <w:rsid w:val="00FC4F87"/>
    <w:rsid w:val="00FC7B3B"/>
    <w:rsid w:val="00FD0F3A"/>
    <w:rsid w:val="00FD3782"/>
    <w:rsid w:val="00FD46EE"/>
    <w:rsid w:val="00FD517C"/>
    <w:rsid w:val="00FD59E7"/>
    <w:rsid w:val="00FE67FA"/>
    <w:rsid w:val="00FF4349"/>
    <w:rsid w:val="00FF5449"/>
    <w:rsid w:val="00FF7A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7B4185"/>
  <w14:defaultImageDpi w14:val="300"/>
  <w15:docId w15:val="{5910BF81-F773-42D1-B2BA-D8174B95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Calibri"/>
        <w:color w:val="595956"/>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SS_Bodytext"/>
    <w:qFormat/>
    <w:rsid w:val="00DF3401"/>
    <w:rPr>
      <w:rFonts w:ascii="Arial" w:hAnsi="Arial" w:cs="Arial"/>
      <w:color w:val="auto"/>
      <w:lang w:val="en-US"/>
    </w:rPr>
  </w:style>
  <w:style w:type="paragraph" w:styleId="Heading1">
    <w:name w:val="heading 1"/>
    <w:aliases w:val="LSS_Head1"/>
    <w:basedOn w:val="LSSChapt1"/>
    <w:next w:val="Normal"/>
    <w:link w:val="Heading1Char"/>
    <w:uiPriority w:val="9"/>
    <w:qFormat/>
    <w:rsid w:val="006E5851"/>
    <w:pPr>
      <w:pBdr>
        <w:bottom w:val="none" w:sz="0" w:space="0" w:color="auto"/>
      </w:pBdr>
      <w:spacing w:before="840"/>
      <w:outlineLvl w:val="0"/>
    </w:pPr>
    <w:rPr>
      <w:bCs w:val="0"/>
      <w:sz w:val="26"/>
      <w:szCs w:val="26"/>
    </w:rPr>
  </w:style>
  <w:style w:type="paragraph" w:styleId="Heading2">
    <w:name w:val="heading 2"/>
    <w:basedOn w:val="Normal"/>
    <w:next w:val="Normal"/>
    <w:link w:val="Heading2Char"/>
    <w:uiPriority w:val="9"/>
    <w:unhideWhenUsed/>
    <w:rsid w:val="006071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6071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60711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607112"/>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839B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ocumentcontroltableNomad">
    <w:name w:val="Document control table Nomad"/>
    <w:basedOn w:val="TableNormal"/>
    <w:uiPriority w:val="99"/>
    <w:rsid w:val="00B276E3"/>
    <w:rPr>
      <w:color w:val="808080" w:themeColor="background1" w:themeShade="80"/>
      <w:sz w:val="20"/>
      <w:lang w:val="en-US"/>
    </w:rPr>
    <w:tblPr/>
    <w:tblStylePr w:type="firstRow">
      <w:rPr>
        <w:rFonts w:asciiTheme="majorHAnsi" w:hAnsiTheme="majorHAnsi"/>
        <w:b/>
        <w:color w:val="FF0000"/>
        <w:sz w:val="20"/>
      </w:rPr>
    </w:tblStylePr>
  </w:style>
  <w:style w:type="paragraph" w:styleId="Footer">
    <w:name w:val="footer"/>
    <w:basedOn w:val="Normal"/>
    <w:link w:val="FooterChar"/>
    <w:uiPriority w:val="99"/>
    <w:unhideWhenUsed/>
    <w:rsid w:val="006E5851"/>
    <w:pPr>
      <w:tabs>
        <w:tab w:val="center" w:pos="4320"/>
        <w:tab w:val="right" w:pos="8640"/>
      </w:tabs>
    </w:pPr>
  </w:style>
  <w:style w:type="paragraph" w:styleId="TOC1">
    <w:name w:val="toc 1"/>
    <w:aliases w:val="TOC Nomad"/>
    <w:basedOn w:val="Normal"/>
    <w:next w:val="Normal"/>
    <w:autoRedefine/>
    <w:uiPriority w:val="39"/>
    <w:unhideWhenUsed/>
    <w:rsid w:val="00852EDF"/>
    <w:pPr>
      <w:spacing w:before="360" w:after="160"/>
    </w:pPr>
    <w:rPr>
      <w:b/>
      <w:bCs/>
      <w:color w:val="595956"/>
    </w:rPr>
  </w:style>
  <w:style w:type="paragraph" w:styleId="Header">
    <w:name w:val="header"/>
    <w:basedOn w:val="Normal"/>
    <w:link w:val="HeaderChar"/>
    <w:uiPriority w:val="99"/>
    <w:unhideWhenUsed/>
    <w:rsid w:val="00707885"/>
    <w:pPr>
      <w:tabs>
        <w:tab w:val="center" w:pos="4320"/>
        <w:tab w:val="right" w:pos="8640"/>
      </w:tabs>
    </w:pPr>
  </w:style>
  <w:style w:type="character" w:customStyle="1" w:styleId="HeaderChar">
    <w:name w:val="Header Char"/>
    <w:basedOn w:val="DefaultParagraphFont"/>
    <w:link w:val="Header"/>
    <w:uiPriority w:val="99"/>
    <w:rsid w:val="00707885"/>
    <w:rPr>
      <w:lang w:val="en-US"/>
    </w:rPr>
  </w:style>
  <w:style w:type="character" w:customStyle="1" w:styleId="FooterChar">
    <w:name w:val="Footer Char"/>
    <w:basedOn w:val="DefaultParagraphFont"/>
    <w:link w:val="Footer"/>
    <w:uiPriority w:val="99"/>
    <w:rsid w:val="006E5851"/>
    <w:rPr>
      <w:rFonts w:ascii="Arial" w:hAnsi="Arial" w:cs="Arial"/>
      <w:color w:val="auto"/>
      <w:lang w:val="en-US"/>
    </w:rPr>
  </w:style>
  <w:style w:type="paragraph" w:customStyle="1" w:styleId="LSSCover1">
    <w:name w:val="LSS_Cover 1"/>
    <w:basedOn w:val="Normal"/>
    <w:link w:val="LSSCover1Char"/>
    <w:qFormat/>
    <w:rsid w:val="00095D94"/>
    <w:pPr>
      <w:widowControl w:val="0"/>
      <w:autoSpaceDE w:val="0"/>
      <w:autoSpaceDN w:val="0"/>
      <w:adjustRightInd w:val="0"/>
      <w:spacing w:before="240" w:after="200" w:line="600" w:lineRule="exact"/>
    </w:pPr>
    <w:rPr>
      <w:b/>
      <w:bCs/>
      <w:noProof/>
      <w:color w:val="002C5C"/>
      <w:sz w:val="56"/>
      <w:szCs w:val="56"/>
    </w:rPr>
  </w:style>
  <w:style w:type="character" w:customStyle="1" w:styleId="LSSCover1Char">
    <w:name w:val="LSS_Cover 1 Char"/>
    <w:basedOn w:val="DefaultParagraphFont"/>
    <w:link w:val="LSSCover1"/>
    <w:rsid w:val="00095D94"/>
    <w:rPr>
      <w:rFonts w:ascii="Arial" w:hAnsi="Arial" w:cs="Arial"/>
      <w:b/>
      <w:bCs/>
      <w:noProof/>
      <w:color w:val="002C5C"/>
      <w:sz w:val="56"/>
      <w:szCs w:val="56"/>
      <w:lang w:val="en-US"/>
    </w:rPr>
  </w:style>
  <w:style w:type="paragraph" w:customStyle="1" w:styleId="LSSCover2">
    <w:name w:val="LSS_Cover 2"/>
    <w:basedOn w:val="LSSCover1"/>
    <w:qFormat/>
    <w:rsid w:val="00095D94"/>
    <w:pPr>
      <w:spacing w:before="1320"/>
    </w:pPr>
    <w:rPr>
      <w:b w:val="0"/>
      <w:color w:val="FFFFFF"/>
      <w:sz w:val="44"/>
      <w:szCs w:val="44"/>
    </w:rPr>
  </w:style>
  <w:style w:type="paragraph" w:styleId="NoSpacing">
    <w:name w:val="No Spacing"/>
    <w:aliases w:val="LSS_Cover 3 no spacing"/>
    <w:uiPriority w:val="1"/>
    <w:qFormat/>
    <w:rsid w:val="00095D94"/>
    <w:pPr>
      <w:spacing w:before="800" w:line="400" w:lineRule="exact"/>
    </w:pPr>
    <w:rPr>
      <w:rFonts w:ascii="Arial" w:hAnsi="Arial" w:cs="Arial"/>
      <w:color w:val="FFFFFF" w:themeColor="background1"/>
      <w:sz w:val="30"/>
      <w:szCs w:val="30"/>
      <w:lang w:val="en-US"/>
    </w:rPr>
  </w:style>
  <w:style w:type="paragraph" w:customStyle="1" w:styleId="LSSChapt1">
    <w:name w:val="LSS_Chapt1"/>
    <w:basedOn w:val="Normal"/>
    <w:qFormat/>
    <w:rsid w:val="0077487D"/>
    <w:pPr>
      <w:widowControl w:val="0"/>
      <w:pBdr>
        <w:bottom w:val="single" w:sz="6" w:space="6" w:color="auto"/>
      </w:pBdr>
      <w:autoSpaceDE w:val="0"/>
      <w:autoSpaceDN w:val="0"/>
      <w:adjustRightInd w:val="0"/>
    </w:pPr>
    <w:rPr>
      <w:b/>
      <w:bCs/>
      <w:color w:val="002C5C"/>
      <w:sz w:val="28"/>
      <w:szCs w:val="28"/>
    </w:rPr>
  </w:style>
  <w:style w:type="character" w:customStyle="1" w:styleId="Heading1Char">
    <w:name w:val="Heading 1 Char"/>
    <w:aliases w:val="LSS_Head1 Char"/>
    <w:basedOn w:val="DefaultParagraphFont"/>
    <w:link w:val="Heading1"/>
    <w:uiPriority w:val="9"/>
    <w:rsid w:val="006E5851"/>
    <w:rPr>
      <w:rFonts w:ascii="Arial" w:hAnsi="Arial" w:cs="Arial"/>
      <w:b/>
      <w:color w:val="002C5C"/>
      <w:sz w:val="26"/>
      <w:szCs w:val="26"/>
      <w:lang w:val="en-US"/>
    </w:rPr>
  </w:style>
  <w:style w:type="paragraph" w:styleId="Title">
    <w:name w:val="Title"/>
    <w:aliases w:val="LSS_Head2"/>
    <w:basedOn w:val="Normal"/>
    <w:next w:val="Normal"/>
    <w:link w:val="TitleChar"/>
    <w:uiPriority w:val="10"/>
    <w:qFormat/>
    <w:rsid w:val="006E5851"/>
    <w:pPr>
      <w:widowControl w:val="0"/>
      <w:autoSpaceDE w:val="0"/>
      <w:autoSpaceDN w:val="0"/>
      <w:adjustRightInd w:val="0"/>
      <w:spacing w:before="840"/>
    </w:pPr>
    <w:rPr>
      <w:sz w:val="24"/>
      <w:szCs w:val="24"/>
    </w:rPr>
  </w:style>
  <w:style w:type="character" w:customStyle="1" w:styleId="TitleChar">
    <w:name w:val="Title Char"/>
    <w:aliases w:val="LSS_Head2 Char"/>
    <w:basedOn w:val="DefaultParagraphFont"/>
    <w:link w:val="Title"/>
    <w:uiPriority w:val="10"/>
    <w:rsid w:val="006E5851"/>
    <w:rPr>
      <w:rFonts w:ascii="Arial" w:hAnsi="Arial" w:cs="Arial"/>
      <w:color w:val="auto"/>
      <w:sz w:val="24"/>
      <w:szCs w:val="24"/>
      <w:lang w:val="en-US"/>
    </w:rPr>
  </w:style>
  <w:style w:type="paragraph" w:styleId="ListParagraph">
    <w:name w:val="List Paragraph"/>
    <w:basedOn w:val="Normal"/>
    <w:uiPriority w:val="34"/>
    <w:qFormat/>
    <w:rsid w:val="0025503C"/>
    <w:pPr>
      <w:ind w:left="720"/>
      <w:contextualSpacing/>
    </w:pPr>
  </w:style>
  <w:style w:type="paragraph" w:styleId="List">
    <w:name w:val="List"/>
    <w:basedOn w:val="Normal"/>
    <w:uiPriority w:val="99"/>
    <w:unhideWhenUsed/>
    <w:rsid w:val="0025503C"/>
    <w:pPr>
      <w:ind w:left="283" w:hanging="283"/>
      <w:contextualSpacing/>
    </w:pPr>
  </w:style>
  <w:style w:type="paragraph" w:styleId="List2">
    <w:name w:val="List 2"/>
    <w:basedOn w:val="Normal"/>
    <w:uiPriority w:val="99"/>
    <w:unhideWhenUsed/>
    <w:rsid w:val="0025503C"/>
    <w:pPr>
      <w:ind w:left="566" w:hanging="283"/>
      <w:contextualSpacing/>
    </w:pPr>
  </w:style>
  <w:style w:type="paragraph" w:styleId="List3">
    <w:name w:val="List 3"/>
    <w:basedOn w:val="Normal"/>
    <w:uiPriority w:val="99"/>
    <w:unhideWhenUsed/>
    <w:rsid w:val="0025503C"/>
    <w:pPr>
      <w:ind w:left="849" w:hanging="283"/>
      <w:contextualSpacing/>
    </w:pPr>
  </w:style>
  <w:style w:type="paragraph" w:styleId="ListBullet">
    <w:name w:val="List Bullet"/>
    <w:basedOn w:val="Normal"/>
    <w:uiPriority w:val="99"/>
    <w:unhideWhenUsed/>
    <w:rsid w:val="0025503C"/>
    <w:pPr>
      <w:numPr>
        <w:numId w:val="1"/>
      </w:numPr>
      <w:contextualSpacing/>
    </w:pPr>
  </w:style>
  <w:style w:type="paragraph" w:styleId="ListBullet2">
    <w:name w:val="List Bullet 2"/>
    <w:basedOn w:val="Normal"/>
    <w:uiPriority w:val="99"/>
    <w:unhideWhenUsed/>
    <w:rsid w:val="0025503C"/>
    <w:pPr>
      <w:numPr>
        <w:numId w:val="2"/>
      </w:numPr>
      <w:contextualSpacing/>
    </w:pPr>
  </w:style>
  <w:style w:type="paragraph" w:styleId="ListBullet3">
    <w:name w:val="List Bullet 3"/>
    <w:basedOn w:val="Normal"/>
    <w:uiPriority w:val="99"/>
    <w:unhideWhenUsed/>
    <w:rsid w:val="0025503C"/>
    <w:pPr>
      <w:numPr>
        <w:numId w:val="3"/>
      </w:numPr>
      <w:contextualSpacing/>
    </w:pPr>
  </w:style>
  <w:style w:type="numbering" w:customStyle="1" w:styleId="LSMainBullets">
    <w:name w:val="LS Main Bullets"/>
    <w:basedOn w:val="NoList"/>
    <w:uiPriority w:val="99"/>
    <w:rsid w:val="0025503C"/>
    <w:pPr>
      <w:numPr>
        <w:numId w:val="3"/>
      </w:numPr>
    </w:pPr>
  </w:style>
  <w:style w:type="paragraph" w:customStyle="1" w:styleId="LSSBullets2text">
    <w:name w:val="LSS_Bullets 2 text"/>
    <w:basedOn w:val="ListBullet"/>
    <w:qFormat/>
    <w:rsid w:val="00147104"/>
    <w:pPr>
      <w:numPr>
        <w:numId w:val="0"/>
      </w:numPr>
      <w:spacing w:after="120"/>
      <w:contextualSpacing w:val="0"/>
    </w:pPr>
  </w:style>
  <w:style w:type="paragraph" w:styleId="FootnoteText">
    <w:name w:val="footnote text"/>
    <w:basedOn w:val="Normal"/>
    <w:link w:val="FootnoteTextChar"/>
    <w:uiPriority w:val="99"/>
    <w:unhideWhenUsed/>
    <w:rsid w:val="00F4154F"/>
    <w:rPr>
      <w:sz w:val="24"/>
      <w:szCs w:val="24"/>
    </w:rPr>
  </w:style>
  <w:style w:type="character" w:customStyle="1" w:styleId="FootnoteTextChar">
    <w:name w:val="Footnote Text Char"/>
    <w:basedOn w:val="DefaultParagraphFont"/>
    <w:link w:val="FootnoteText"/>
    <w:uiPriority w:val="99"/>
    <w:rsid w:val="00F4154F"/>
    <w:rPr>
      <w:rFonts w:ascii="Arial" w:hAnsi="Arial" w:cs="Arial"/>
      <w:color w:val="auto"/>
      <w:sz w:val="24"/>
      <w:szCs w:val="24"/>
      <w:lang w:val="en-US"/>
    </w:rPr>
  </w:style>
  <w:style w:type="character" w:styleId="FootnoteReference">
    <w:name w:val="footnote reference"/>
    <w:basedOn w:val="DefaultParagraphFont"/>
    <w:uiPriority w:val="99"/>
    <w:unhideWhenUsed/>
    <w:rsid w:val="00F4154F"/>
    <w:rPr>
      <w:vertAlign w:val="superscript"/>
    </w:rPr>
  </w:style>
  <w:style w:type="paragraph" w:customStyle="1" w:styleId="LSSFootnote">
    <w:name w:val="LSS_Footnote"/>
    <w:basedOn w:val="FootnoteText"/>
    <w:qFormat/>
    <w:rsid w:val="006E5851"/>
    <w:pPr>
      <w:spacing w:after="120"/>
    </w:pPr>
    <w:rPr>
      <w:sz w:val="16"/>
      <w:szCs w:val="16"/>
    </w:rPr>
  </w:style>
  <w:style w:type="character" w:styleId="PageNumber">
    <w:name w:val="page number"/>
    <w:basedOn w:val="DefaultParagraphFont"/>
    <w:uiPriority w:val="99"/>
    <w:semiHidden/>
    <w:unhideWhenUsed/>
    <w:rsid w:val="00E93211"/>
  </w:style>
  <w:style w:type="character" w:customStyle="1" w:styleId="Heading2Char">
    <w:name w:val="Heading 2 Char"/>
    <w:basedOn w:val="DefaultParagraphFont"/>
    <w:link w:val="Heading2"/>
    <w:uiPriority w:val="9"/>
    <w:rsid w:val="00607112"/>
    <w:rPr>
      <w:rFonts w:eastAsiaTheme="majorEastAsia"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607112"/>
    <w:rPr>
      <w:rFonts w:eastAsiaTheme="majorEastAsia" w:cstheme="majorBidi"/>
      <w:b/>
      <w:bCs/>
      <w:color w:val="4F81BD" w:themeColor="accent1"/>
      <w:lang w:val="en-US"/>
    </w:rPr>
  </w:style>
  <w:style w:type="character" w:customStyle="1" w:styleId="Heading4Char">
    <w:name w:val="Heading 4 Char"/>
    <w:basedOn w:val="DefaultParagraphFont"/>
    <w:link w:val="Heading4"/>
    <w:uiPriority w:val="9"/>
    <w:rsid w:val="00607112"/>
    <w:rPr>
      <w:rFonts w:eastAsiaTheme="majorEastAsia" w:cstheme="majorBidi"/>
      <w:b/>
      <w:bCs/>
      <w:i/>
      <w:iCs/>
      <w:color w:val="4F81BD" w:themeColor="accent1"/>
      <w:lang w:val="en-US"/>
    </w:rPr>
  </w:style>
  <w:style w:type="character" w:customStyle="1" w:styleId="Heading5Char">
    <w:name w:val="Heading 5 Char"/>
    <w:basedOn w:val="DefaultParagraphFont"/>
    <w:link w:val="Heading5"/>
    <w:uiPriority w:val="9"/>
    <w:rsid w:val="00607112"/>
    <w:rPr>
      <w:rFonts w:eastAsiaTheme="majorEastAsia" w:cstheme="majorBidi"/>
      <w:color w:val="243F60" w:themeColor="accent1" w:themeShade="7F"/>
      <w:lang w:val="en-US"/>
    </w:rPr>
  </w:style>
  <w:style w:type="character" w:customStyle="1" w:styleId="Heading7Char">
    <w:name w:val="Heading 7 Char"/>
    <w:basedOn w:val="DefaultParagraphFont"/>
    <w:link w:val="Heading7"/>
    <w:uiPriority w:val="9"/>
    <w:semiHidden/>
    <w:rsid w:val="007839B2"/>
    <w:rPr>
      <w:rFonts w:eastAsiaTheme="majorEastAsia" w:cstheme="majorBidi"/>
      <w:i/>
      <w:iCs/>
      <w:color w:val="404040" w:themeColor="text1" w:themeTint="BF"/>
      <w:lang w:val="en-US"/>
    </w:rPr>
  </w:style>
  <w:style w:type="paragraph" w:customStyle="1" w:styleId="Default">
    <w:name w:val="Default"/>
    <w:rsid w:val="007839B2"/>
    <w:pPr>
      <w:autoSpaceDE w:val="0"/>
      <w:autoSpaceDN w:val="0"/>
      <w:adjustRightInd w:val="0"/>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F92D30"/>
    <w:rPr>
      <w:color w:val="0000FF"/>
      <w:u w:val="single"/>
    </w:rPr>
  </w:style>
  <w:style w:type="character" w:styleId="CommentReference">
    <w:name w:val="annotation reference"/>
    <w:basedOn w:val="DefaultParagraphFont"/>
    <w:uiPriority w:val="99"/>
    <w:semiHidden/>
    <w:unhideWhenUsed/>
    <w:rsid w:val="00F92D30"/>
    <w:rPr>
      <w:sz w:val="16"/>
      <w:szCs w:val="16"/>
    </w:rPr>
  </w:style>
  <w:style w:type="paragraph" w:styleId="CommentText">
    <w:name w:val="annotation text"/>
    <w:basedOn w:val="Normal"/>
    <w:link w:val="CommentTextChar"/>
    <w:uiPriority w:val="99"/>
    <w:unhideWhenUsed/>
    <w:rsid w:val="00F92D30"/>
    <w:rPr>
      <w:rFonts w:eastAsia="Times New Roman"/>
      <w:sz w:val="20"/>
      <w:szCs w:val="20"/>
      <w:lang w:val="en-GB"/>
    </w:rPr>
  </w:style>
  <w:style w:type="character" w:customStyle="1" w:styleId="CommentTextChar">
    <w:name w:val="Comment Text Char"/>
    <w:basedOn w:val="DefaultParagraphFont"/>
    <w:link w:val="CommentText"/>
    <w:uiPriority w:val="99"/>
    <w:rsid w:val="00F92D30"/>
    <w:rPr>
      <w:rFonts w:ascii="Arial" w:eastAsia="Times New Roman" w:hAnsi="Arial" w:cs="Arial"/>
      <w:color w:val="auto"/>
      <w:sz w:val="20"/>
      <w:szCs w:val="20"/>
    </w:rPr>
  </w:style>
  <w:style w:type="character" w:styleId="UnresolvedMention">
    <w:name w:val="Unresolved Mention"/>
    <w:basedOn w:val="DefaultParagraphFont"/>
    <w:uiPriority w:val="99"/>
    <w:semiHidden/>
    <w:unhideWhenUsed/>
    <w:rsid w:val="00F92D3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24CF9"/>
    <w:pPr>
      <w:spacing w:after="240"/>
    </w:pPr>
    <w:rPr>
      <w:rFonts w:eastAsiaTheme="minorEastAsia"/>
      <w:b/>
      <w:bCs/>
      <w:lang w:val="en-US"/>
    </w:rPr>
  </w:style>
  <w:style w:type="character" w:customStyle="1" w:styleId="CommentSubjectChar">
    <w:name w:val="Comment Subject Char"/>
    <w:basedOn w:val="CommentTextChar"/>
    <w:link w:val="CommentSubject"/>
    <w:uiPriority w:val="99"/>
    <w:semiHidden/>
    <w:rsid w:val="00F24CF9"/>
    <w:rPr>
      <w:rFonts w:ascii="Arial" w:eastAsia="Times New Roman" w:hAnsi="Arial" w:cs="Arial"/>
      <w:b/>
      <w:bCs/>
      <w:color w:val="auto"/>
      <w:sz w:val="20"/>
      <w:szCs w:val="20"/>
      <w:lang w:val="en-US"/>
    </w:rPr>
  </w:style>
  <w:style w:type="numbering" w:customStyle="1" w:styleId="CurrentList1">
    <w:name w:val="Current List1"/>
    <w:uiPriority w:val="99"/>
    <w:rsid w:val="000512B2"/>
    <w:pPr>
      <w:numPr>
        <w:numId w:val="4"/>
      </w:numPr>
    </w:pPr>
  </w:style>
  <w:style w:type="character" w:styleId="FollowedHyperlink">
    <w:name w:val="FollowedHyperlink"/>
    <w:basedOn w:val="DefaultParagraphFont"/>
    <w:uiPriority w:val="99"/>
    <w:semiHidden/>
    <w:unhideWhenUsed/>
    <w:rsid w:val="00FC7B3B"/>
    <w:rPr>
      <w:color w:val="800080" w:themeColor="followedHyperlink"/>
      <w:u w:val="single"/>
    </w:rPr>
  </w:style>
  <w:style w:type="character" w:customStyle="1" w:styleId="ui-provider">
    <w:name w:val="ui-provider"/>
    <w:basedOn w:val="DefaultParagraphFont"/>
    <w:rsid w:val="002C63DA"/>
  </w:style>
  <w:style w:type="paragraph" w:customStyle="1" w:styleId="legp2paratext">
    <w:name w:val="legp2paratext"/>
    <w:basedOn w:val="Normal"/>
    <w:rsid w:val="002C63DA"/>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legclearfix">
    <w:name w:val="legclearfix"/>
    <w:basedOn w:val="Normal"/>
    <w:rsid w:val="002C63DA"/>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legds">
    <w:name w:val="legds"/>
    <w:basedOn w:val="DefaultParagraphFont"/>
    <w:rsid w:val="002C6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264">
      <w:bodyDiv w:val="1"/>
      <w:marLeft w:val="0"/>
      <w:marRight w:val="0"/>
      <w:marTop w:val="0"/>
      <w:marBottom w:val="0"/>
      <w:divBdr>
        <w:top w:val="none" w:sz="0" w:space="0" w:color="auto"/>
        <w:left w:val="none" w:sz="0" w:space="0" w:color="auto"/>
        <w:bottom w:val="none" w:sz="0" w:space="0" w:color="auto"/>
        <w:right w:val="none" w:sz="0" w:space="0" w:color="auto"/>
      </w:divBdr>
    </w:div>
    <w:div w:id="472792954">
      <w:bodyDiv w:val="1"/>
      <w:marLeft w:val="0"/>
      <w:marRight w:val="0"/>
      <w:marTop w:val="0"/>
      <w:marBottom w:val="0"/>
      <w:divBdr>
        <w:top w:val="none" w:sz="0" w:space="0" w:color="auto"/>
        <w:left w:val="none" w:sz="0" w:space="0" w:color="auto"/>
        <w:bottom w:val="none" w:sz="0" w:space="0" w:color="auto"/>
        <w:right w:val="none" w:sz="0" w:space="0" w:color="auto"/>
      </w:divBdr>
    </w:div>
    <w:div w:id="477577194">
      <w:bodyDiv w:val="1"/>
      <w:marLeft w:val="0"/>
      <w:marRight w:val="0"/>
      <w:marTop w:val="0"/>
      <w:marBottom w:val="0"/>
      <w:divBdr>
        <w:top w:val="none" w:sz="0" w:space="0" w:color="auto"/>
        <w:left w:val="none" w:sz="0" w:space="0" w:color="auto"/>
        <w:bottom w:val="none" w:sz="0" w:space="0" w:color="auto"/>
        <w:right w:val="none" w:sz="0" w:space="0" w:color="auto"/>
      </w:divBdr>
    </w:div>
    <w:div w:id="766922967">
      <w:bodyDiv w:val="1"/>
      <w:marLeft w:val="0"/>
      <w:marRight w:val="0"/>
      <w:marTop w:val="0"/>
      <w:marBottom w:val="0"/>
      <w:divBdr>
        <w:top w:val="none" w:sz="0" w:space="0" w:color="auto"/>
        <w:left w:val="none" w:sz="0" w:space="0" w:color="auto"/>
        <w:bottom w:val="none" w:sz="0" w:space="0" w:color="auto"/>
        <w:right w:val="none" w:sz="0" w:space="0" w:color="auto"/>
      </w:divBdr>
    </w:div>
    <w:div w:id="1151218730">
      <w:bodyDiv w:val="1"/>
      <w:marLeft w:val="0"/>
      <w:marRight w:val="0"/>
      <w:marTop w:val="0"/>
      <w:marBottom w:val="0"/>
      <w:divBdr>
        <w:top w:val="none" w:sz="0" w:space="0" w:color="auto"/>
        <w:left w:val="none" w:sz="0" w:space="0" w:color="auto"/>
        <w:bottom w:val="none" w:sz="0" w:space="0" w:color="auto"/>
        <w:right w:val="none" w:sz="0" w:space="0" w:color="auto"/>
      </w:divBdr>
    </w:div>
    <w:div w:id="1510484943">
      <w:bodyDiv w:val="1"/>
      <w:marLeft w:val="0"/>
      <w:marRight w:val="0"/>
      <w:marTop w:val="0"/>
      <w:marBottom w:val="0"/>
      <w:divBdr>
        <w:top w:val="none" w:sz="0" w:space="0" w:color="auto"/>
        <w:left w:val="none" w:sz="0" w:space="0" w:color="auto"/>
        <w:bottom w:val="none" w:sz="0" w:space="0" w:color="auto"/>
        <w:right w:val="none" w:sz="0" w:space="0" w:color="auto"/>
      </w:divBdr>
    </w:div>
    <w:div w:id="1601373282">
      <w:bodyDiv w:val="1"/>
      <w:marLeft w:val="0"/>
      <w:marRight w:val="0"/>
      <w:marTop w:val="0"/>
      <w:marBottom w:val="0"/>
      <w:divBdr>
        <w:top w:val="none" w:sz="0" w:space="0" w:color="auto"/>
        <w:left w:val="none" w:sz="0" w:space="0" w:color="auto"/>
        <w:bottom w:val="none" w:sz="0" w:space="0" w:color="auto"/>
        <w:right w:val="none" w:sz="0" w:space="0" w:color="auto"/>
      </w:divBdr>
    </w:div>
    <w:div w:id="1841853366">
      <w:bodyDiv w:val="1"/>
      <w:marLeft w:val="0"/>
      <w:marRight w:val="0"/>
      <w:marTop w:val="0"/>
      <w:marBottom w:val="0"/>
      <w:divBdr>
        <w:top w:val="none" w:sz="0" w:space="0" w:color="auto"/>
        <w:left w:val="none" w:sz="0" w:space="0" w:color="auto"/>
        <w:bottom w:val="none" w:sz="0" w:space="0" w:color="auto"/>
        <w:right w:val="none" w:sz="0" w:space="0" w:color="auto"/>
      </w:divBdr>
    </w:div>
    <w:div w:id="1927811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transparency.org/en/cpi/2021"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state.gov/international-narcotics-control-strategy-report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lawscot.org.uk/news-and-events/blogs-opinions/aml-and-geographical-risk/" TargetMode="External"/><Relationship Id="rId25" Type="http://schemas.openxmlformats.org/officeDocument/2006/relationships/hyperlink" Target="https://www.lawscot.org.uk/members/regulation-and-compliance/financial-compliance/anti-money-laundering/aml-faqs/" TargetMode="External"/><Relationship Id="rId2" Type="http://schemas.openxmlformats.org/officeDocument/2006/relationships/customXml" Target="../customXml/item2.xml"/><Relationship Id="rId16" Type="http://schemas.openxmlformats.org/officeDocument/2006/relationships/hyperlink" Target="https://www.lawscot.org.uk/media/370253/lsag-aml-guidance-20-january-2021-2.pdf" TargetMode="External"/><Relationship Id="rId20" Type="http://schemas.openxmlformats.org/officeDocument/2006/relationships/hyperlink" Target="https://www.cia.gov/the-world-factbook/"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lawscot.org.uk/members/regulation-and-compliance/financial-compliance/anti-money-laundering/idandverification/"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knowyourcountry.com/"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baselgovernance.org/basel-aml-inde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fatf-gafi.org/countries/" TargetMode="External"/><Relationship Id="rId27" Type="http://schemas.openxmlformats.org/officeDocument/2006/relationships/header" Target="header5.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8c67e97-170c-4c6a-9226-91428b647f9e" xsi:nil="true"/>
    <TaxCatchAll xmlns="1ca9531e-4856-49dc-b8d9-2b50dbac3583">
      <Value>1</Value>
    </TaxCatchAll>
    <BWPersonalInfo xmlns="1ca9531e-4856-49dc-b8d9-2b50dbac3583">Yes</BWPersonalInfo>
    <j51334b8464a403e8708c44b550590d2 xmlns="1ca9531e-4856-49dc-b8d9-2b50dbac3583">
      <Terms xmlns="http://schemas.microsoft.com/office/infopath/2007/PartnerControls"/>
    </j51334b8464a403e8708c44b550590d2>
    <BWMembersRecord xmlns="1ca9531e-4856-49dc-b8d9-2b50dbac3583">Yes</BWMembersRecord>
    <DocumentType xmlns="1ca9531e-4856-49dc-b8d9-2b50dbac3583">Inspection</DocumentType>
    <m73f487bf6df40bd884c3d6035f2f3bf xmlns="1ca9531e-4856-49dc-b8d9-2b50dbac3583">
      <Terms xmlns="http://schemas.microsoft.com/office/infopath/2007/PartnerControls">
        <TermInfo xmlns="http://schemas.microsoft.com/office/infopath/2007/PartnerControls">
          <TermName xmlns="http://schemas.microsoft.com/office/infopath/2007/PartnerControls">Financial Compliance</TermName>
          <TermId xmlns="http://schemas.microsoft.com/office/infopath/2007/PartnerControls">c69b4af8-4a9b-48da-8f3e-65ef90b81167</TermId>
        </TermInfo>
      </Terms>
    </m73f487bf6df40bd884c3d6035f2f3bf>
  </documentManagement>
</p:properties>
</file>

<file path=customXml/item2.xml><?xml version="1.0" encoding="utf-8"?>
<ct:contentTypeSchema xmlns:ct="http://schemas.microsoft.com/office/2006/metadata/contentType" xmlns:ma="http://schemas.microsoft.com/office/2006/metadata/properties/metaAttributes" ct:_="" ma:_="" ma:contentTypeName="Portrait Logo" ma:contentTypeID="0x0101000B7C47568CD9EC44AB1B7F98B91B476C0E0090B5A21AF702C74EAF7C193545EDBCBF" ma:contentTypeVersion="16" ma:contentTypeDescription="Create a new document." ma:contentTypeScope="" ma:versionID="dba225ca306e840d47126dbd6870c5a6">
  <xsd:schema xmlns:xsd="http://www.w3.org/2001/XMLSchema" xmlns:xs="http://www.w3.org/2001/XMLSchema" xmlns:p="http://schemas.microsoft.com/office/2006/metadata/properties" xmlns:ns2="1ca9531e-4856-49dc-b8d9-2b50dbac3583" xmlns:ns3="18c67e97-170c-4c6a-9226-91428b647f9e" targetNamespace="http://schemas.microsoft.com/office/2006/metadata/properties" ma:root="true" ma:fieldsID="7e6604e41c1f4f1bf186a5e7ff3ccc3c" ns2:_="" ns3:_="">
    <xsd:import namespace="1ca9531e-4856-49dc-b8d9-2b50dbac3583"/>
    <xsd:import namespace="18c67e97-170c-4c6a-9226-91428b647f9e"/>
    <xsd:element name="properties">
      <xsd:complexType>
        <xsd:sequence>
          <xsd:element name="documentManagement">
            <xsd:complexType>
              <xsd:all>
                <xsd:element ref="ns2:m73f487bf6df40bd884c3d6035f2f3bf" minOccurs="0"/>
                <xsd:element ref="ns2:TaxCatchAll" minOccurs="0"/>
                <xsd:element ref="ns2:TaxCatchAllLabel" minOccurs="0"/>
                <xsd:element ref="ns2:j51334b8464a403e8708c44b550590d2" minOccurs="0"/>
                <xsd:element ref="ns2:DocumentType" minOccurs="0"/>
                <xsd:element ref="ns2:BWPersonalInfo" minOccurs="0"/>
                <xsd:element ref="ns2:BWMembersRecord"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9531e-4856-49dc-b8d9-2b50dbac3583"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fieldId="{673f487b-f6df-40bd-884c-3d6035f2f3bf}" ma:taxonomyMulti="true" ma:sspId="f87652fb-be11-4487-930f-ee8173464f00" ma:termSetId="a601863f-1317-44d8-8661-4b0d80eb83c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139c65b-4d33-4787-8be9-a6b461a06c6d}" ma:internalName="TaxCatchAll" ma:readOnly="false" ma:showField="CatchAllData" ma:web="1ca9531e-4856-49dc-b8d9-2b50dbac358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139c65b-4d33-4787-8be9-a6b461a06c6d}" ma:internalName="TaxCatchAllLabel" ma:readOnly="true" ma:showField="CatchAllDataLabel" ma:web="1ca9531e-4856-49dc-b8d9-2b50dbac3583">
      <xsd:complexType>
        <xsd:complexContent>
          <xsd:extension base="dms:MultiChoiceLookup">
            <xsd:sequence>
              <xsd:element name="Value" type="dms:Lookup" maxOccurs="unbounded" minOccurs="0" nillable="true"/>
            </xsd:sequence>
          </xsd:extension>
        </xsd:complexContent>
      </xsd:complexType>
    </xsd:element>
    <xsd:element name="j51334b8464a403e8708c44b550590d2" ma:index="12" nillable="true" ma:taxonomy="true" ma:internalName="j51334b8464a403e8708c44b550590d2" ma:taxonomyFieldName="Committee" ma:displayName="Committee" ma:readOnly="false" ma:fieldId="{351334b8-464a-403e-8708-c44b550590d2}" ma:taxonomyMulti="true" ma:sspId="f87652fb-be11-4487-930f-ee8173464f00" ma:termSetId="ade3e510-b0c6-4201-b84b-391c47e7439c" ma:anchorId="00000000-0000-0000-0000-000000000000" ma:open="false" ma:isKeyword="false">
      <xsd:complexType>
        <xsd:sequence>
          <xsd:element ref="pc:Terms" minOccurs="0" maxOccurs="1"/>
        </xsd:sequence>
      </xsd:complexType>
    </xsd:element>
    <xsd:element name="DocumentType" ma:index="14" nillable="true" ma:displayName="Document Type" ma:format="Dropdown" ma:internalName="DocumentType" ma:readOnly="fals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5" nillable="true" ma:displayName="Personal Info" ma:format="Dropdown" ma:internalName="BWPersonalInfo" ma:readOnly="false">
      <xsd:simpleType>
        <xsd:restriction base="dms:Choice">
          <xsd:enumeration value="Yes"/>
          <xsd:enumeration value="No"/>
        </xsd:restriction>
      </xsd:simpleType>
    </xsd:element>
    <xsd:element name="BWMembersRecord" ma:index="16" nillable="true" ma:displayName="Relates to members record" ma:format="Dropdown" ma:internalName="BWMembersRecord"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8c67e97-170c-4c6a-9226-91428b647f9e" elementFormDefault="qualified">
    <xsd:import namespace="http://schemas.microsoft.com/office/2006/documentManagement/types"/>
    <xsd:import namespace="http://schemas.microsoft.com/office/infopath/2007/PartnerControls"/>
    <xsd:element name="lcf76f155ced4ddcb4097134ff3c332f" ma:index="17"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60E30-F983-439E-9537-21C1C3002C2B}">
  <ds:schemaRefs>
    <ds:schemaRef ds:uri="http://schemas.microsoft.com/office/2006/metadata/properties"/>
    <ds:schemaRef ds:uri="http://schemas.microsoft.com/office/infopath/2007/PartnerControls"/>
    <ds:schemaRef ds:uri="18c67e97-170c-4c6a-9226-91428b647f9e"/>
    <ds:schemaRef ds:uri="1ca9531e-4856-49dc-b8d9-2b50dbac3583"/>
  </ds:schemaRefs>
</ds:datastoreItem>
</file>

<file path=customXml/itemProps2.xml><?xml version="1.0" encoding="utf-8"?>
<ds:datastoreItem xmlns:ds="http://schemas.openxmlformats.org/officeDocument/2006/customXml" ds:itemID="{1AC72D51-271F-44F6-BA85-44A4D205D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9531e-4856-49dc-b8d9-2b50dbac3583"/>
    <ds:schemaRef ds:uri="18c67e97-170c-4c6a-9226-91428b647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C0D049-E3C5-4056-90BB-FDBB5245E57E}">
  <ds:schemaRefs>
    <ds:schemaRef ds:uri="http://schemas.microsoft.com/sharepoint/v3/contenttype/forms"/>
  </ds:schemaRefs>
</ds:datastoreItem>
</file>

<file path=customXml/itemProps4.xml><?xml version="1.0" encoding="utf-8"?>
<ds:datastoreItem xmlns:ds="http://schemas.openxmlformats.org/officeDocument/2006/customXml" ds:itemID="{4E76B9F8-3592-4375-AA29-0875EF4D4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2593</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Richie Hume</dc:creator>
  <cp:lastModifiedBy>Dale Trahms</cp:lastModifiedBy>
  <cp:revision>2</cp:revision>
  <dcterms:created xsi:type="dcterms:W3CDTF">2024-01-23T10:04:00Z</dcterms:created>
  <dcterms:modified xsi:type="dcterms:W3CDTF">2024-01-23T10:04:00Z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0x0101000B7C47568CD9EC44AB1B7F98B91B476C0E0090B5A21AF702C74EAF7C193545EDBCBF</vt:lpwstr>
  </property>
  <property fmtid="{D5CDD505-2E9C-101B-9397-08002B2CF9AE}" pid="3" name="Committee">
    <vt:lpwstr/>
  </property>
  <property fmtid="{D5CDD505-2E9C-101B-9397-08002B2CF9AE}" pid="4" name="Directorate">
    <vt:lpwstr>1;#Financial Compliance|c69b4af8-4a9b-48da-8f3e-65ef90b81167</vt:lpwstr>
  </property>
  <property fmtid="{D5CDD505-2E9C-101B-9397-08002B2CF9AE}" pid="5" name="_dlc_DocIdItemGuid">
    <vt:lpwstr>1b7e734b-a2da-4538-a904-2a926f9fe9fd</vt:lpwstr>
  </property>
  <property fmtid="{D5CDD505-2E9C-101B-9397-08002B2CF9AE}" pid="6" name="MediaServiceImageTags">
    <vt:lpwstr/>
  </property>
  <property fmtid="{D5CDD505-2E9C-101B-9397-08002B2CF9AE}" pid="7" name="TaxCatchAll">
    <vt:lpwstr>136;#Financial Compliance|c69b4af8-4a9b-48da-8f3e-65ef90b81167</vt:lpwstr>
  </property>
  <property fmtid="{D5CDD505-2E9C-101B-9397-08002B2CF9AE}" pid="8" name="BWPersonalInfo">
    <vt:lpwstr>Yes</vt:lpwstr>
  </property>
  <property fmtid="{D5CDD505-2E9C-101B-9397-08002B2CF9AE}" pid="9" name="BWMembersRecord">
    <vt:lpwstr>Yes</vt:lpwstr>
  </property>
  <property fmtid="{D5CDD505-2E9C-101B-9397-08002B2CF9AE}" pid="10" name="DocumentType">
    <vt:lpwstr>Inspection</vt:lpwstr>
  </property>
  <property fmtid="{D5CDD505-2E9C-101B-9397-08002B2CF9AE}" pid="11" name="m73f487bf6df40bd884c3d6035f2f3bf">
    <vt:lpwstr>Financial Compliance|c69b4af8-4a9b-48da-8f3e-65ef90b81167</vt:lpwstr>
  </property>
  <property fmtid="{D5CDD505-2E9C-101B-9397-08002B2CF9AE}" pid="12" name="j51334b8464a403e8708c44b550590d2">
    <vt:lpwstr/>
  </property>
  <property fmtid="{D5CDD505-2E9C-101B-9397-08002B2CF9AE}" pid="13" name="ClassificationContentMarkingHeaderShapeIds">
    <vt:lpwstr>193e7979,31d5725a,4ded2943,1f99c07e,38ebd6f3,41a858f3</vt:lpwstr>
  </property>
  <property fmtid="{D5CDD505-2E9C-101B-9397-08002B2CF9AE}" pid="14" name="ClassificationContentMarkingHeaderFontProps">
    <vt:lpwstr>#000000,10,Calibri</vt:lpwstr>
  </property>
  <property fmtid="{D5CDD505-2E9C-101B-9397-08002B2CF9AE}" pid="15" name="ClassificationContentMarkingHeaderText">
    <vt:lpwstr>REGULATION - SENSITIVE</vt:lpwstr>
  </property>
  <property fmtid="{D5CDD505-2E9C-101B-9397-08002B2CF9AE}" pid="16" name="MSIP_Label_061b4899-68cb-4669-9be8-5e7f10147940_Enabled">
    <vt:lpwstr>true</vt:lpwstr>
  </property>
  <property fmtid="{D5CDD505-2E9C-101B-9397-08002B2CF9AE}" pid="17" name="MSIP_Label_061b4899-68cb-4669-9be8-5e7f10147940_SetDate">
    <vt:lpwstr>2024-01-23T10:03:22Z</vt:lpwstr>
  </property>
  <property fmtid="{D5CDD505-2E9C-101B-9397-08002B2CF9AE}" pid="18" name="MSIP_Label_061b4899-68cb-4669-9be8-5e7f10147940_Method">
    <vt:lpwstr>Standard</vt:lpwstr>
  </property>
  <property fmtid="{D5CDD505-2E9C-101B-9397-08002B2CF9AE}" pid="19" name="MSIP_Label_061b4899-68cb-4669-9be8-5e7f10147940_Name">
    <vt:lpwstr>Regulation – Sensitive</vt:lpwstr>
  </property>
  <property fmtid="{D5CDD505-2E9C-101B-9397-08002B2CF9AE}" pid="20" name="MSIP_Label_061b4899-68cb-4669-9be8-5e7f10147940_SiteId">
    <vt:lpwstr>7ef8e0ea-4b47-426a-9398-1c0c216695b7</vt:lpwstr>
  </property>
  <property fmtid="{D5CDD505-2E9C-101B-9397-08002B2CF9AE}" pid="21" name="MSIP_Label_061b4899-68cb-4669-9be8-5e7f10147940_ActionId">
    <vt:lpwstr>0c148fae-bd6f-4a67-9db7-1041e8085ecb</vt:lpwstr>
  </property>
  <property fmtid="{D5CDD505-2E9C-101B-9397-08002B2CF9AE}" pid="22" name="MSIP_Label_061b4899-68cb-4669-9be8-5e7f10147940_ContentBits">
    <vt:lpwstr>1</vt:lpwstr>
  </property>
</Properties>
</file>