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FE98F" w14:textId="77777777" w:rsidR="008C1FF8" w:rsidRPr="008C1FF8" w:rsidRDefault="008C1FF8" w:rsidP="008C1FF8">
      <w:pPr>
        <w:jc w:val="center"/>
        <w:rPr>
          <w:b/>
        </w:rPr>
      </w:pPr>
      <w:r w:rsidRPr="008C1FF8">
        <w:rPr>
          <w:b/>
        </w:rPr>
        <w:t>Use and Retention Schedule</w:t>
      </w:r>
    </w:p>
    <w:tbl>
      <w:tblPr>
        <w:tblW w:w="17396" w:type="dxa"/>
        <w:tblInd w:w="93" w:type="dxa"/>
        <w:tblLook w:val="04A0" w:firstRow="1" w:lastRow="0" w:firstColumn="1" w:lastColumn="0" w:noHBand="0" w:noVBand="1"/>
      </w:tblPr>
      <w:tblGrid>
        <w:gridCol w:w="1995"/>
        <w:gridCol w:w="1445"/>
        <w:gridCol w:w="1255"/>
        <w:gridCol w:w="2185"/>
        <w:gridCol w:w="155"/>
        <w:gridCol w:w="3690"/>
        <w:gridCol w:w="205"/>
        <w:gridCol w:w="236"/>
        <w:gridCol w:w="2259"/>
        <w:gridCol w:w="945"/>
        <w:gridCol w:w="236"/>
        <w:gridCol w:w="1609"/>
        <w:gridCol w:w="1181"/>
      </w:tblGrid>
      <w:tr w:rsidR="008C1FF8" w:rsidRPr="00C565EF" w14:paraId="2A2FE994" w14:textId="77777777" w:rsidTr="008C1FF8">
        <w:trPr>
          <w:gridAfter w:val="1"/>
          <w:wAfter w:w="1181" w:type="dxa"/>
          <w:trHeight w:val="300"/>
        </w:trPr>
        <w:tc>
          <w:tcPr>
            <w:tcW w:w="7035" w:type="dxa"/>
            <w:gridSpan w:val="5"/>
            <w:tcBorders>
              <w:top w:val="nil"/>
              <w:left w:val="nil"/>
              <w:bottom w:val="nil"/>
              <w:right w:val="nil"/>
            </w:tcBorders>
            <w:shd w:val="clear" w:color="auto" w:fill="auto"/>
            <w:noWrap/>
            <w:hideMark/>
          </w:tcPr>
          <w:p w14:paraId="2A2FE990" w14:textId="77777777" w:rsidR="008C1FF8" w:rsidRPr="00C565EF" w:rsidRDefault="008C1FF8" w:rsidP="00C565EF">
            <w:pPr>
              <w:rPr>
                <w:rFonts w:eastAsia="Times New Roman"/>
                <w:sz w:val="22"/>
                <w:szCs w:val="22"/>
                <w:lang w:eastAsia="en-GB"/>
              </w:rPr>
            </w:pPr>
            <w:r w:rsidRPr="00C565EF">
              <w:rPr>
                <w:rFonts w:eastAsia="Times New Roman"/>
                <w:b/>
                <w:bCs/>
                <w:sz w:val="22"/>
                <w:szCs w:val="22"/>
                <w:lang w:eastAsia="en-GB"/>
              </w:rPr>
              <w:t>Please refer to the Notes below for a glossary of terms</w:t>
            </w:r>
          </w:p>
        </w:tc>
        <w:tc>
          <w:tcPr>
            <w:tcW w:w="3690" w:type="dxa"/>
            <w:tcBorders>
              <w:top w:val="nil"/>
              <w:left w:val="nil"/>
              <w:bottom w:val="nil"/>
              <w:right w:val="nil"/>
            </w:tcBorders>
            <w:shd w:val="clear" w:color="auto" w:fill="auto"/>
            <w:hideMark/>
          </w:tcPr>
          <w:p w14:paraId="2A2FE991" w14:textId="77777777" w:rsidR="008C1FF8" w:rsidRPr="00C565EF" w:rsidRDefault="008C1FF8" w:rsidP="00C565EF">
            <w:pPr>
              <w:rPr>
                <w:rFonts w:eastAsia="Times New Roman"/>
                <w:sz w:val="22"/>
                <w:szCs w:val="22"/>
                <w:lang w:eastAsia="en-GB"/>
              </w:rPr>
            </w:pPr>
          </w:p>
        </w:tc>
        <w:tc>
          <w:tcPr>
            <w:tcW w:w="2700" w:type="dxa"/>
            <w:gridSpan w:val="3"/>
            <w:tcBorders>
              <w:top w:val="nil"/>
              <w:left w:val="nil"/>
              <w:bottom w:val="nil"/>
              <w:right w:val="nil"/>
            </w:tcBorders>
            <w:shd w:val="clear" w:color="auto" w:fill="auto"/>
            <w:hideMark/>
          </w:tcPr>
          <w:p w14:paraId="2A2FE992" w14:textId="77777777" w:rsidR="008C1FF8" w:rsidRPr="00C565EF" w:rsidRDefault="008C1FF8" w:rsidP="00C565EF">
            <w:pPr>
              <w:rPr>
                <w:rFonts w:eastAsia="Times New Roman"/>
                <w:sz w:val="22"/>
                <w:szCs w:val="22"/>
                <w:lang w:eastAsia="en-GB"/>
              </w:rPr>
            </w:pPr>
          </w:p>
        </w:tc>
        <w:tc>
          <w:tcPr>
            <w:tcW w:w="2790" w:type="dxa"/>
            <w:gridSpan w:val="3"/>
            <w:tcBorders>
              <w:top w:val="nil"/>
              <w:left w:val="nil"/>
              <w:bottom w:val="nil"/>
              <w:right w:val="nil"/>
            </w:tcBorders>
            <w:shd w:val="clear" w:color="auto" w:fill="auto"/>
            <w:hideMark/>
          </w:tcPr>
          <w:p w14:paraId="2A2FE993" w14:textId="77777777" w:rsidR="008C1FF8" w:rsidRPr="00C565EF" w:rsidRDefault="008C1FF8" w:rsidP="00C565EF">
            <w:pPr>
              <w:rPr>
                <w:rFonts w:eastAsia="Times New Roman"/>
                <w:sz w:val="22"/>
                <w:szCs w:val="22"/>
                <w:lang w:eastAsia="en-GB"/>
              </w:rPr>
            </w:pPr>
          </w:p>
        </w:tc>
      </w:tr>
      <w:tr w:rsidR="008C1FF8" w:rsidRPr="00C565EF" w14:paraId="2A2FE99B" w14:textId="77777777" w:rsidTr="008C1FF8">
        <w:trPr>
          <w:gridAfter w:val="1"/>
          <w:wAfter w:w="1181" w:type="dxa"/>
          <w:trHeight w:val="72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95" w14:textId="77777777" w:rsidR="00C565EF" w:rsidRPr="00C565EF" w:rsidRDefault="00C565EF" w:rsidP="00C565EF">
            <w:pPr>
              <w:rPr>
                <w:rFonts w:eastAsia="Times New Roman"/>
                <w:b/>
                <w:bCs/>
                <w:lang w:eastAsia="en-GB"/>
              </w:rPr>
            </w:pPr>
            <w:r w:rsidRPr="00C565EF">
              <w:rPr>
                <w:rFonts w:eastAsia="Times New Roman"/>
                <w:b/>
                <w:bCs/>
                <w:lang w:eastAsia="en-GB"/>
              </w:rPr>
              <w:t>Why are you providing information?</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96" w14:textId="77777777" w:rsidR="00C565EF" w:rsidRPr="00C565EF" w:rsidRDefault="00C565EF" w:rsidP="00C565EF">
            <w:pPr>
              <w:rPr>
                <w:rFonts w:eastAsia="Times New Roman"/>
                <w:b/>
                <w:bCs/>
                <w:lang w:eastAsia="en-GB"/>
              </w:rPr>
            </w:pPr>
            <w:r w:rsidRPr="00C565EF">
              <w:rPr>
                <w:rFonts w:eastAsia="Times New Roman"/>
                <w:b/>
                <w:bCs/>
                <w:lang w:eastAsia="en-GB"/>
              </w:rPr>
              <w:t>What does that include?</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97" w14:textId="77777777" w:rsidR="00C565EF" w:rsidRPr="00C565EF" w:rsidRDefault="00C565EF" w:rsidP="00C565EF">
            <w:pPr>
              <w:rPr>
                <w:rFonts w:eastAsia="Times New Roman"/>
                <w:b/>
                <w:bCs/>
                <w:lang w:eastAsia="en-GB"/>
              </w:rPr>
            </w:pPr>
            <w:r w:rsidRPr="00C565EF">
              <w:rPr>
                <w:rFonts w:eastAsia="Times New Roman"/>
                <w:b/>
                <w:bCs/>
                <w:lang w:eastAsia="en-GB"/>
              </w:rPr>
              <w:t>Who will get to see the information?</w:t>
            </w:r>
          </w:p>
        </w:tc>
        <w:tc>
          <w:tcPr>
            <w:tcW w:w="3690" w:type="dxa"/>
            <w:tcBorders>
              <w:top w:val="single" w:sz="4" w:space="0" w:color="auto"/>
              <w:left w:val="nil"/>
              <w:bottom w:val="single" w:sz="4" w:space="0" w:color="auto"/>
              <w:right w:val="single" w:sz="4" w:space="0" w:color="auto"/>
            </w:tcBorders>
            <w:shd w:val="clear" w:color="auto" w:fill="auto"/>
            <w:hideMark/>
          </w:tcPr>
          <w:p w14:paraId="2A2FE998" w14:textId="77777777" w:rsidR="00C565EF" w:rsidRPr="00C565EF" w:rsidRDefault="00C565EF" w:rsidP="00C565EF">
            <w:pPr>
              <w:rPr>
                <w:rFonts w:eastAsia="Times New Roman"/>
                <w:b/>
                <w:bCs/>
                <w:lang w:eastAsia="en-GB"/>
              </w:rPr>
            </w:pPr>
            <w:r w:rsidRPr="00C565EF">
              <w:rPr>
                <w:rFonts w:eastAsia="Times New Roman"/>
                <w:b/>
                <w:bCs/>
                <w:lang w:eastAsia="en-GB"/>
              </w:rPr>
              <w:t>What is the lawful basis for processing my information?</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99" w14:textId="77777777" w:rsidR="00C565EF" w:rsidRPr="00C565EF" w:rsidRDefault="00C565EF" w:rsidP="00C565EF">
            <w:pPr>
              <w:rPr>
                <w:rFonts w:eastAsia="Times New Roman"/>
                <w:b/>
                <w:bCs/>
                <w:lang w:eastAsia="en-GB"/>
              </w:rPr>
            </w:pPr>
            <w:r w:rsidRPr="00C565EF">
              <w:rPr>
                <w:rFonts w:eastAsia="Times New Roman"/>
                <w:b/>
                <w:bCs/>
                <w:lang w:eastAsia="en-GB"/>
              </w:rPr>
              <w:t>Will information be gathered from other sources?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9A" w14:textId="77777777" w:rsidR="00C565EF" w:rsidRPr="00C565EF" w:rsidRDefault="00C565EF" w:rsidP="00C565EF">
            <w:pPr>
              <w:rPr>
                <w:rFonts w:eastAsia="Times New Roman"/>
                <w:b/>
                <w:bCs/>
                <w:lang w:eastAsia="en-GB"/>
              </w:rPr>
            </w:pPr>
            <w:r w:rsidRPr="00C565EF">
              <w:rPr>
                <w:rFonts w:eastAsia="Times New Roman"/>
                <w:b/>
                <w:bCs/>
                <w:lang w:eastAsia="en-GB"/>
              </w:rPr>
              <w:t>How long will you keep my information?</w:t>
            </w:r>
          </w:p>
        </w:tc>
      </w:tr>
      <w:tr w:rsidR="008C1FF8" w:rsidRPr="008C1FF8" w14:paraId="2A2FE9A2" w14:textId="77777777" w:rsidTr="008C1FF8">
        <w:trPr>
          <w:gridAfter w:val="1"/>
          <w:wAfter w:w="1181" w:type="dxa"/>
          <w:trHeight w:val="2280"/>
        </w:trPr>
        <w:tc>
          <w:tcPr>
            <w:tcW w:w="1995" w:type="dxa"/>
            <w:tcBorders>
              <w:top w:val="nil"/>
              <w:left w:val="single" w:sz="4" w:space="0" w:color="auto"/>
              <w:bottom w:val="single" w:sz="4" w:space="0" w:color="auto"/>
              <w:right w:val="single" w:sz="4" w:space="0" w:color="auto"/>
            </w:tcBorders>
            <w:shd w:val="clear" w:color="auto" w:fill="auto"/>
            <w:hideMark/>
          </w:tcPr>
          <w:p w14:paraId="2A2FE99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Applications</w:t>
            </w:r>
          </w:p>
        </w:tc>
        <w:tc>
          <w:tcPr>
            <w:tcW w:w="2700" w:type="dxa"/>
            <w:gridSpan w:val="2"/>
            <w:tcBorders>
              <w:top w:val="nil"/>
              <w:left w:val="nil"/>
              <w:bottom w:val="single" w:sz="4" w:space="0" w:color="auto"/>
              <w:right w:val="single" w:sz="4" w:space="0" w:color="auto"/>
            </w:tcBorders>
            <w:shd w:val="clear" w:color="auto" w:fill="auto"/>
            <w:hideMark/>
          </w:tcPr>
          <w:p w14:paraId="2A2FE99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Applications for recognition, renewal or status under the Society's Rules, or statutes.</w:t>
            </w:r>
          </w:p>
        </w:tc>
        <w:tc>
          <w:tcPr>
            <w:tcW w:w="2340" w:type="dxa"/>
            <w:gridSpan w:val="2"/>
            <w:tcBorders>
              <w:top w:val="nil"/>
              <w:left w:val="nil"/>
              <w:bottom w:val="single" w:sz="4" w:space="0" w:color="auto"/>
              <w:right w:val="single" w:sz="4" w:space="0" w:color="auto"/>
            </w:tcBorders>
            <w:shd w:val="clear" w:color="auto" w:fill="auto"/>
            <w:hideMark/>
          </w:tcPr>
          <w:p w14:paraId="2A2FE99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99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Primarily the Society will rely on the legal obligation flowing from the relevant statutory provisions. Additionally, the Society will rely on its legitimate interest and obligation to fulfil a task or perform a function in the public </w:t>
            </w:r>
            <w:proofErr w:type="gramStart"/>
            <w:r w:rsidRPr="00C565EF">
              <w:rPr>
                <w:rFonts w:eastAsia="Times New Roman"/>
                <w:sz w:val="22"/>
                <w:szCs w:val="22"/>
                <w:lang w:eastAsia="en-GB"/>
              </w:rPr>
              <w:t>interest  or</w:t>
            </w:r>
            <w:proofErr w:type="gramEnd"/>
            <w:r w:rsidRPr="00C565EF">
              <w:rPr>
                <w:rFonts w:eastAsia="Times New Roman"/>
                <w:sz w:val="22"/>
                <w:szCs w:val="22"/>
                <w:lang w:eastAsia="en-GB"/>
              </w:rPr>
              <w:t xml:space="preserve"> protect members of the public. Where appropriate the Society may also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9A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or third parties such as: Disclosure Scotland, academic institutions, the </w:t>
            </w:r>
            <w:proofErr w:type="gramStart"/>
            <w:r w:rsidRPr="00C565EF">
              <w:rPr>
                <w:rFonts w:eastAsia="Times New Roman"/>
                <w:sz w:val="22"/>
                <w:szCs w:val="22"/>
                <w:lang w:eastAsia="en-GB"/>
              </w:rPr>
              <w:t>SQA,SLCC</w:t>
            </w:r>
            <w:proofErr w:type="gramEnd"/>
            <w:r w:rsidRPr="00C565EF">
              <w:rPr>
                <w:rFonts w:eastAsia="Times New Roman"/>
                <w:sz w:val="22"/>
                <w:szCs w:val="22"/>
                <w:lang w:eastAsia="en-GB"/>
              </w:rPr>
              <w:t xml:space="preserve">,SLAB, SSDT, referees and other regulators </w:t>
            </w:r>
          </w:p>
        </w:tc>
        <w:tc>
          <w:tcPr>
            <w:tcW w:w="2790" w:type="dxa"/>
            <w:gridSpan w:val="3"/>
            <w:tcBorders>
              <w:top w:val="nil"/>
              <w:left w:val="nil"/>
              <w:bottom w:val="single" w:sz="4" w:space="0" w:color="auto"/>
              <w:right w:val="single" w:sz="4" w:space="0" w:color="auto"/>
            </w:tcBorders>
            <w:shd w:val="clear" w:color="auto" w:fill="auto"/>
            <w:hideMark/>
          </w:tcPr>
          <w:p w14:paraId="2A2FE9A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 documentation will generally be kept for 5 years.  Where it relates to a member's status/record, information will be kept indefinitely</w:t>
            </w:r>
          </w:p>
        </w:tc>
      </w:tr>
      <w:tr w:rsidR="008C1FF8" w:rsidRPr="008C1FF8" w14:paraId="2A2FE9A9" w14:textId="77777777" w:rsidTr="008C1FF8">
        <w:trPr>
          <w:gridAfter w:val="1"/>
          <w:wAfter w:w="1181" w:type="dxa"/>
          <w:trHeight w:val="2280"/>
        </w:trPr>
        <w:tc>
          <w:tcPr>
            <w:tcW w:w="1995" w:type="dxa"/>
            <w:tcBorders>
              <w:top w:val="nil"/>
              <w:left w:val="single" w:sz="4" w:space="0" w:color="auto"/>
              <w:bottom w:val="single" w:sz="4" w:space="0" w:color="auto"/>
              <w:right w:val="single" w:sz="4" w:space="0" w:color="auto"/>
            </w:tcBorders>
            <w:shd w:val="clear" w:color="auto" w:fill="auto"/>
            <w:hideMark/>
          </w:tcPr>
          <w:p w14:paraId="2A2FE9A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700" w:type="dxa"/>
            <w:gridSpan w:val="2"/>
            <w:tcBorders>
              <w:top w:val="nil"/>
              <w:left w:val="nil"/>
              <w:bottom w:val="single" w:sz="4" w:space="0" w:color="auto"/>
              <w:right w:val="single" w:sz="4" w:space="0" w:color="auto"/>
            </w:tcBorders>
            <w:shd w:val="clear" w:color="auto" w:fill="auto"/>
            <w:hideMark/>
          </w:tcPr>
          <w:p w14:paraId="2A2FE9A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Applications for committee membership</w:t>
            </w:r>
          </w:p>
        </w:tc>
        <w:tc>
          <w:tcPr>
            <w:tcW w:w="2340" w:type="dxa"/>
            <w:gridSpan w:val="2"/>
            <w:tcBorders>
              <w:top w:val="nil"/>
              <w:left w:val="nil"/>
              <w:bottom w:val="single" w:sz="4" w:space="0" w:color="auto"/>
              <w:right w:val="single" w:sz="4" w:space="0" w:color="auto"/>
            </w:tcBorders>
            <w:shd w:val="clear" w:color="auto" w:fill="auto"/>
            <w:hideMark/>
          </w:tcPr>
          <w:p w14:paraId="2A2FE9A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9A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the legal obligation flowing from the relevant statutory provisions. Additionally,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9A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or third parties such as: Disclosure Scotland, academic institutions, the </w:t>
            </w:r>
            <w:proofErr w:type="gramStart"/>
            <w:r w:rsidRPr="00C565EF">
              <w:rPr>
                <w:rFonts w:eastAsia="Times New Roman"/>
                <w:sz w:val="22"/>
                <w:szCs w:val="22"/>
                <w:lang w:eastAsia="en-GB"/>
              </w:rPr>
              <w:t>SQA,SLCC</w:t>
            </w:r>
            <w:proofErr w:type="gramEnd"/>
            <w:r w:rsidRPr="00C565EF">
              <w:rPr>
                <w:rFonts w:eastAsia="Times New Roman"/>
                <w:sz w:val="22"/>
                <w:szCs w:val="22"/>
                <w:lang w:eastAsia="en-GB"/>
              </w:rPr>
              <w:t xml:space="preserve">,SLAB, SSDT, referees and other regulators </w:t>
            </w:r>
          </w:p>
        </w:tc>
        <w:tc>
          <w:tcPr>
            <w:tcW w:w="2790" w:type="dxa"/>
            <w:gridSpan w:val="3"/>
            <w:tcBorders>
              <w:top w:val="nil"/>
              <w:left w:val="nil"/>
              <w:bottom w:val="single" w:sz="4" w:space="0" w:color="auto"/>
              <w:right w:val="single" w:sz="4" w:space="0" w:color="auto"/>
            </w:tcBorders>
            <w:shd w:val="clear" w:color="auto" w:fill="auto"/>
            <w:hideMark/>
          </w:tcPr>
          <w:p w14:paraId="2A2FE9A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 documentation will generally be kept for 5 years.  Where it relates to a member's status/record, information will be kept indefinitely</w:t>
            </w:r>
          </w:p>
        </w:tc>
      </w:tr>
      <w:tr w:rsidR="008C1FF8" w:rsidRPr="008C1FF8" w14:paraId="2A2FE9B0" w14:textId="77777777" w:rsidTr="008C1FF8">
        <w:trPr>
          <w:gridAfter w:val="1"/>
          <w:wAfter w:w="1181" w:type="dxa"/>
          <w:trHeight w:val="228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A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A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For reimbursement from the Client Protection Fund/Guarantee Fund</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A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single" w:sz="4" w:space="0" w:color="auto"/>
              <w:left w:val="nil"/>
              <w:bottom w:val="single" w:sz="4" w:space="0" w:color="auto"/>
              <w:right w:val="single" w:sz="4" w:space="0" w:color="auto"/>
            </w:tcBorders>
            <w:shd w:val="clear" w:color="auto" w:fill="auto"/>
            <w:hideMark/>
          </w:tcPr>
          <w:p w14:paraId="2A2FE9A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Primarily the Society will rely on the legal obligation flowing from the relevant statutory provisions. Additionally, the Society will rely on its legitimate interest and obligation to fulfil a task or perform a </w:t>
            </w:r>
            <w:r w:rsidR="001026FD">
              <w:rPr>
                <w:rFonts w:eastAsia="Times New Roman"/>
                <w:sz w:val="22"/>
                <w:szCs w:val="22"/>
                <w:lang w:eastAsia="en-GB"/>
              </w:rPr>
              <w:t>function in the public interest</w:t>
            </w:r>
            <w:r w:rsidRPr="00C565EF">
              <w:rPr>
                <w:rFonts w:eastAsia="Times New Roman"/>
                <w:sz w:val="22"/>
                <w:szCs w:val="22"/>
                <w:lang w:eastAsia="en-GB"/>
              </w:rPr>
              <w:t xml:space="preserve"> or protect members of the public. Where appropriate the Society may also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A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or third parties such as: firm files, client files and accounting records of the relevant practice unit, Members, SLCC, SLAB, SSDT and other regulators </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A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 documentation will generally be kept for 5 years.  Where it relates to a member's status/record, information will be kept indefinitely</w:t>
            </w:r>
          </w:p>
        </w:tc>
      </w:tr>
      <w:tr w:rsidR="008C1FF8" w:rsidRPr="008C1FF8" w14:paraId="2A2FE9B7" w14:textId="77777777" w:rsidTr="008C1FF8">
        <w:trPr>
          <w:gridAfter w:val="1"/>
          <w:wAfter w:w="1181" w:type="dxa"/>
          <w:trHeight w:val="171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B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 </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B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Applications for recognition, renewal or status outside the Society's Rules, or </w:t>
            </w:r>
            <w:proofErr w:type="spellStart"/>
            <w:proofErr w:type="gramStart"/>
            <w:r w:rsidRPr="00C565EF">
              <w:rPr>
                <w:rFonts w:eastAsia="Times New Roman"/>
                <w:sz w:val="22"/>
                <w:szCs w:val="22"/>
                <w:lang w:eastAsia="en-GB"/>
              </w:rPr>
              <w:t>statutes.For</w:t>
            </w:r>
            <w:proofErr w:type="spellEnd"/>
            <w:proofErr w:type="gramEnd"/>
            <w:r w:rsidRPr="00C565EF">
              <w:rPr>
                <w:rFonts w:eastAsia="Times New Roman"/>
                <w:sz w:val="22"/>
                <w:szCs w:val="22"/>
                <w:lang w:eastAsia="en-GB"/>
              </w:rPr>
              <w:t xml:space="preserve"> example: Student Associates</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B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single" w:sz="4" w:space="0" w:color="auto"/>
              <w:left w:val="nil"/>
              <w:bottom w:val="single" w:sz="4" w:space="0" w:color="auto"/>
              <w:right w:val="single" w:sz="4" w:space="0" w:color="auto"/>
            </w:tcBorders>
            <w:shd w:val="clear" w:color="auto" w:fill="auto"/>
            <w:hideMark/>
          </w:tcPr>
          <w:p w14:paraId="2A2FE9B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B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Disclosure Scotland, academic institutions, the SQA and other regulators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B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Application documentation will generally be kept for 5 years.  Where it relates to a member's status/record, information will be kept indefinitely</w:t>
            </w:r>
          </w:p>
        </w:tc>
      </w:tr>
      <w:tr w:rsidR="008C1FF8" w:rsidRPr="008C1FF8" w14:paraId="2A2FE9BE" w14:textId="77777777" w:rsidTr="008C1FF8">
        <w:trPr>
          <w:gridAfter w:val="1"/>
          <w:wAfter w:w="1181" w:type="dxa"/>
          <w:trHeight w:val="1425"/>
        </w:trPr>
        <w:tc>
          <w:tcPr>
            <w:tcW w:w="1995" w:type="dxa"/>
            <w:tcBorders>
              <w:top w:val="nil"/>
              <w:left w:val="single" w:sz="4" w:space="0" w:color="auto"/>
              <w:bottom w:val="single" w:sz="4" w:space="0" w:color="auto"/>
              <w:right w:val="single" w:sz="4" w:space="0" w:color="auto"/>
            </w:tcBorders>
            <w:shd w:val="clear" w:color="auto" w:fill="auto"/>
            <w:hideMark/>
          </w:tcPr>
          <w:p w14:paraId="2A2FE9B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CCTV</w:t>
            </w:r>
          </w:p>
        </w:tc>
        <w:tc>
          <w:tcPr>
            <w:tcW w:w="2700" w:type="dxa"/>
            <w:gridSpan w:val="2"/>
            <w:tcBorders>
              <w:top w:val="nil"/>
              <w:left w:val="nil"/>
              <w:bottom w:val="single" w:sz="4" w:space="0" w:color="auto"/>
              <w:right w:val="single" w:sz="4" w:space="0" w:color="auto"/>
            </w:tcBorders>
            <w:shd w:val="clear" w:color="auto" w:fill="auto"/>
            <w:hideMark/>
          </w:tcPr>
          <w:p w14:paraId="2A2FE9B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 the Society premises at Atria One Edinburgh</w:t>
            </w:r>
          </w:p>
        </w:tc>
        <w:tc>
          <w:tcPr>
            <w:tcW w:w="2340" w:type="dxa"/>
            <w:gridSpan w:val="2"/>
            <w:tcBorders>
              <w:top w:val="nil"/>
              <w:left w:val="nil"/>
              <w:bottom w:val="single" w:sz="4" w:space="0" w:color="auto"/>
              <w:right w:val="single" w:sz="4" w:space="0" w:color="auto"/>
            </w:tcBorders>
            <w:shd w:val="clear" w:color="auto" w:fill="auto"/>
            <w:hideMark/>
          </w:tcPr>
          <w:p w14:paraId="2A2FE9B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Authorised Staff and where appropriate law enforcement agencies such as the Police</w:t>
            </w:r>
          </w:p>
        </w:tc>
        <w:tc>
          <w:tcPr>
            <w:tcW w:w="3690" w:type="dxa"/>
            <w:tcBorders>
              <w:top w:val="nil"/>
              <w:left w:val="nil"/>
              <w:bottom w:val="single" w:sz="4" w:space="0" w:color="auto"/>
              <w:right w:val="single" w:sz="4" w:space="0" w:color="auto"/>
            </w:tcBorders>
            <w:shd w:val="clear" w:color="auto" w:fill="auto"/>
            <w:hideMark/>
          </w:tcPr>
          <w:p w14:paraId="2A2FE9BB" w14:textId="77777777" w:rsidR="00C565EF" w:rsidRPr="00C565EF" w:rsidRDefault="001026FD" w:rsidP="00C565EF">
            <w:pPr>
              <w:rPr>
                <w:rFonts w:eastAsia="Times New Roman"/>
                <w:sz w:val="22"/>
                <w:szCs w:val="22"/>
                <w:lang w:eastAsia="en-GB"/>
              </w:rPr>
            </w:pPr>
            <w:r w:rsidRPr="00C565EF">
              <w:rPr>
                <w:rFonts w:eastAsia="Times New Roman"/>
                <w:sz w:val="22"/>
                <w:szCs w:val="22"/>
                <w:lang w:eastAsia="en-GB"/>
              </w:rPr>
              <w:t>Primarily the</w:t>
            </w:r>
            <w:r w:rsidR="00C565EF" w:rsidRPr="00C565EF">
              <w:rPr>
                <w:rFonts w:eastAsia="Times New Roman"/>
                <w:sz w:val="22"/>
                <w:szCs w:val="22"/>
                <w:lang w:eastAsia="en-GB"/>
              </w:rPr>
              <w:t xml:space="preserve"> Society will rely on its legitimate interest and obligation to protect members of the public and its Staff, and to act in the public interest in assisting the detection and prevention of crime.</w:t>
            </w:r>
          </w:p>
        </w:tc>
        <w:tc>
          <w:tcPr>
            <w:tcW w:w="2700" w:type="dxa"/>
            <w:gridSpan w:val="3"/>
            <w:tcBorders>
              <w:top w:val="nil"/>
              <w:left w:val="nil"/>
              <w:bottom w:val="single" w:sz="4" w:space="0" w:color="auto"/>
              <w:right w:val="single" w:sz="4" w:space="0" w:color="auto"/>
            </w:tcBorders>
            <w:shd w:val="clear" w:color="auto" w:fill="auto"/>
            <w:hideMark/>
          </w:tcPr>
          <w:p w14:paraId="2A2FE9B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although note that Atria One is also subject to CCTV not in the Society's control and for wh</w:t>
            </w:r>
            <w:r w:rsidR="001026FD">
              <w:rPr>
                <w:rFonts w:eastAsia="Times New Roman"/>
                <w:sz w:val="22"/>
                <w:szCs w:val="22"/>
                <w:lang w:eastAsia="en-GB"/>
              </w:rPr>
              <w:t>ich the Society is not responsi</w:t>
            </w:r>
            <w:r w:rsidRPr="00C565EF">
              <w:rPr>
                <w:rFonts w:eastAsia="Times New Roman"/>
                <w:sz w:val="22"/>
                <w:szCs w:val="22"/>
                <w:lang w:eastAsia="en-GB"/>
              </w:rPr>
              <w:t>ble</w:t>
            </w:r>
          </w:p>
        </w:tc>
        <w:tc>
          <w:tcPr>
            <w:tcW w:w="2790" w:type="dxa"/>
            <w:gridSpan w:val="3"/>
            <w:tcBorders>
              <w:top w:val="nil"/>
              <w:left w:val="nil"/>
              <w:bottom w:val="single" w:sz="4" w:space="0" w:color="auto"/>
              <w:right w:val="single" w:sz="4" w:space="0" w:color="auto"/>
            </w:tcBorders>
            <w:shd w:val="clear" w:color="auto" w:fill="auto"/>
            <w:hideMark/>
          </w:tcPr>
          <w:p w14:paraId="2A2FE9B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CCTV records are retained for 30 days but may be held longer in the event of an incident or </w:t>
            </w:r>
            <w:proofErr w:type="spellStart"/>
            <w:r w:rsidRPr="00C565EF">
              <w:rPr>
                <w:rFonts w:eastAsia="Times New Roman"/>
                <w:sz w:val="22"/>
                <w:szCs w:val="22"/>
                <w:lang w:eastAsia="en-GB"/>
              </w:rPr>
              <w:t>or</w:t>
            </w:r>
            <w:proofErr w:type="spellEnd"/>
            <w:r w:rsidRPr="00C565EF">
              <w:rPr>
                <w:rFonts w:eastAsia="Times New Roman"/>
                <w:sz w:val="22"/>
                <w:szCs w:val="22"/>
                <w:lang w:eastAsia="en-GB"/>
              </w:rPr>
              <w:t xml:space="preserve"> at the request of the police or other authority.</w:t>
            </w:r>
          </w:p>
        </w:tc>
      </w:tr>
      <w:tr w:rsidR="008C1FF8" w:rsidRPr="008C1FF8" w14:paraId="2A2FE9C5" w14:textId="77777777" w:rsidTr="008C1FF8">
        <w:trPr>
          <w:gridAfter w:val="1"/>
          <w:wAfter w:w="1181" w:type="dxa"/>
          <w:trHeight w:val="228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B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Complaints and submissions related to complaints</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C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Complaints relating to Scottish solicitors.</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C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committees and the SSDT</w:t>
            </w:r>
          </w:p>
        </w:tc>
        <w:tc>
          <w:tcPr>
            <w:tcW w:w="3690" w:type="dxa"/>
            <w:tcBorders>
              <w:top w:val="single" w:sz="4" w:space="0" w:color="auto"/>
              <w:left w:val="nil"/>
              <w:bottom w:val="single" w:sz="4" w:space="0" w:color="auto"/>
              <w:right w:val="single" w:sz="4" w:space="0" w:color="auto"/>
            </w:tcBorders>
            <w:shd w:val="clear" w:color="auto" w:fill="auto"/>
            <w:hideMark/>
          </w:tcPr>
          <w:p w14:paraId="2A2FE9C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Primarily the Society will rely on the legal obligation flowing from the relevant statutory provisions. </w:t>
            </w:r>
            <w:proofErr w:type="gramStart"/>
            <w:r w:rsidRPr="00C565EF">
              <w:rPr>
                <w:rFonts w:eastAsia="Times New Roman"/>
                <w:sz w:val="22"/>
                <w:szCs w:val="22"/>
                <w:lang w:eastAsia="en-GB"/>
              </w:rPr>
              <w:t>Additionally,  the</w:t>
            </w:r>
            <w:proofErr w:type="gramEnd"/>
            <w:r w:rsidRPr="00C565EF">
              <w:rPr>
                <w:rFonts w:eastAsia="Times New Roman"/>
                <w:sz w:val="22"/>
                <w:szCs w:val="22"/>
                <w:lang w:eastAsia="en-GB"/>
              </w:rPr>
              <w:t xml:space="preserv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C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the SLCC, firm files, client files and accounting records of the relevant practice unit, Disclosure Scotland, and other regulators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C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w:t>
            </w:r>
            <w:r w:rsidR="009463DD">
              <w:rPr>
                <w:rFonts w:eastAsia="Times New Roman"/>
                <w:sz w:val="22"/>
                <w:szCs w:val="22"/>
                <w:lang w:eastAsia="en-GB"/>
              </w:rPr>
              <w:t>on will generally be kept for 5</w:t>
            </w:r>
            <w:r w:rsidRPr="00C565EF">
              <w:rPr>
                <w:rFonts w:eastAsia="Times New Roman"/>
                <w:sz w:val="22"/>
                <w:szCs w:val="22"/>
                <w:lang w:eastAsia="en-GB"/>
              </w:rPr>
              <w:t xml:space="preserve"> years. Information related to formal decisions affecting a member's status/record will be kept indefinitely</w:t>
            </w:r>
          </w:p>
        </w:tc>
      </w:tr>
      <w:tr w:rsidR="008C1FF8" w:rsidRPr="008C1FF8" w14:paraId="2A2FE9CC" w14:textId="77777777" w:rsidTr="008C1FF8">
        <w:trPr>
          <w:gridAfter w:val="1"/>
          <w:wAfter w:w="1181" w:type="dxa"/>
          <w:trHeight w:val="2280"/>
        </w:trPr>
        <w:tc>
          <w:tcPr>
            <w:tcW w:w="1995" w:type="dxa"/>
            <w:tcBorders>
              <w:top w:val="nil"/>
              <w:left w:val="single" w:sz="4" w:space="0" w:color="auto"/>
              <w:bottom w:val="single" w:sz="4" w:space="0" w:color="auto"/>
              <w:right w:val="single" w:sz="4" w:space="0" w:color="auto"/>
            </w:tcBorders>
            <w:shd w:val="clear" w:color="auto" w:fill="auto"/>
            <w:hideMark/>
          </w:tcPr>
          <w:p w14:paraId="2A2FE9C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700" w:type="dxa"/>
            <w:gridSpan w:val="2"/>
            <w:tcBorders>
              <w:top w:val="nil"/>
              <w:left w:val="nil"/>
              <w:bottom w:val="single" w:sz="4" w:space="0" w:color="auto"/>
              <w:right w:val="single" w:sz="4" w:space="0" w:color="auto"/>
            </w:tcBorders>
            <w:shd w:val="clear" w:color="auto" w:fill="auto"/>
            <w:hideMark/>
          </w:tcPr>
          <w:p w14:paraId="2A2FE9C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Complaints relating to Society Staff</w:t>
            </w:r>
          </w:p>
        </w:tc>
        <w:tc>
          <w:tcPr>
            <w:tcW w:w="2340" w:type="dxa"/>
            <w:gridSpan w:val="2"/>
            <w:tcBorders>
              <w:top w:val="nil"/>
              <w:left w:val="nil"/>
              <w:bottom w:val="single" w:sz="4" w:space="0" w:color="auto"/>
              <w:right w:val="single" w:sz="4" w:space="0" w:color="auto"/>
            </w:tcBorders>
            <w:shd w:val="clear" w:color="auto" w:fill="auto"/>
            <w:hideMark/>
          </w:tcPr>
          <w:p w14:paraId="2A2FE9C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Appropriate managers and Staff, and the HR Team and where appropriate supporters and advisors</w:t>
            </w:r>
          </w:p>
        </w:tc>
        <w:tc>
          <w:tcPr>
            <w:tcW w:w="3690" w:type="dxa"/>
            <w:tcBorders>
              <w:top w:val="nil"/>
              <w:left w:val="nil"/>
              <w:bottom w:val="single" w:sz="4" w:space="0" w:color="auto"/>
              <w:right w:val="single" w:sz="4" w:space="0" w:color="auto"/>
            </w:tcBorders>
            <w:shd w:val="clear" w:color="auto" w:fill="auto"/>
            <w:hideMark/>
          </w:tcPr>
          <w:p w14:paraId="2A2FE9C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the legal obligation flowing from the relevant stat</w:t>
            </w:r>
            <w:r w:rsidR="001026FD">
              <w:rPr>
                <w:rFonts w:eastAsia="Times New Roman"/>
                <w:sz w:val="22"/>
                <w:szCs w:val="22"/>
                <w:lang w:eastAsia="en-GB"/>
              </w:rPr>
              <w:t>utory provisions. Additionally,</w:t>
            </w:r>
            <w:r w:rsidRPr="00C565EF">
              <w:rPr>
                <w:rFonts w:eastAsia="Times New Roman"/>
                <w:sz w:val="22"/>
                <w:szCs w:val="22"/>
                <w:lang w:eastAsia="en-GB"/>
              </w:rPr>
              <w:t xml:space="preserve">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9C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the complainer</w:t>
            </w:r>
          </w:p>
        </w:tc>
        <w:tc>
          <w:tcPr>
            <w:tcW w:w="2790" w:type="dxa"/>
            <w:gridSpan w:val="3"/>
            <w:tcBorders>
              <w:top w:val="nil"/>
              <w:left w:val="nil"/>
              <w:bottom w:val="single" w:sz="4" w:space="0" w:color="auto"/>
              <w:right w:val="single" w:sz="4" w:space="0" w:color="auto"/>
            </w:tcBorders>
            <w:shd w:val="clear" w:color="auto" w:fill="auto"/>
            <w:hideMark/>
          </w:tcPr>
          <w:p w14:paraId="2A2FE9C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w:t>
            </w:r>
            <w:r w:rsidR="009463DD">
              <w:rPr>
                <w:rFonts w:eastAsia="Times New Roman"/>
                <w:sz w:val="22"/>
                <w:szCs w:val="22"/>
                <w:lang w:eastAsia="en-GB"/>
              </w:rPr>
              <w:t>on will generally be kept for 5</w:t>
            </w:r>
            <w:r w:rsidRPr="00C565EF">
              <w:rPr>
                <w:rFonts w:eastAsia="Times New Roman"/>
                <w:sz w:val="22"/>
                <w:szCs w:val="22"/>
                <w:lang w:eastAsia="en-GB"/>
              </w:rPr>
              <w:t xml:space="preserve"> years. Information related to formal decisions affecting a member's status/record will be kept indefinitely</w:t>
            </w:r>
          </w:p>
        </w:tc>
      </w:tr>
      <w:tr w:rsidR="008C1FF8" w:rsidRPr="008C1FF8" w14:paraId="2A2FE9D3" w14:textId="77777777" w:rsidTr="008C1FF8">
        <w:trPr>
          <w:gridAfter w:val="1"/>
          <w:wAfter w:w="1181" w:type="dxa"/>
          <w:trHeight w:val="228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C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CPD and training</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C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 relation to the Society's CPD/TCPD training events, registration (which may include sensitive information related to health such as accessibility), attendance and marketing consent.</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C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 as well as venues and Suppliers involved in the preparation and delivery of such events</w:t>
            </w:r>
          </w:p>
        </w:tc>
        <w:tc>
          <w:tcPr>
            <w:tcW w:w="3690" w:type="dxa"/>
            <w:tcBorders>
              <w:top w:val="single" w:sz="4" w:space="0" w:color="auto"/>
              <w:left w:val="nil"/>
              <w:bottom w:val="single" w:sz="4" w:space="0" w:color="auto"/>
              <w:right w:val="single" w:sz="4" w:space="0" w:color="auto"/>
            </w:tcBorders>
            <w:shd w:val="clear" w:color="auto" w:fill="auto"/>
            <w:hideMark/>
          </w:tcPr>
          <w:p w14:paraId="2A2FE9D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Primarily the Society will be relying on its legitimate interest in offering and providing training to its members as well as the benefit to the public in ensuring a competent profession. Where appropriate (and </w:t>
            </w:r>
            <w:proofErr w:type="gramStart"/>
            <w:r w:rsidRPr="00C565EF">
              <w:rPr>
                <w:rFonts w:eastAsia="Times New Roman"/>
                <w:sz w:val="22"/>
                <w:szCs w:val="22"/>
                <w:lang w:eastAsia="en-GB"/>
              </w:rPr>
              <w:t>in particular in</w:t>
            </w:r>
            <w:proofErr w:type="gramEnd"/>
            <w:r w:rsidRPr="00C565EF">
              <w:rPr>
                <w:rFonts w:eastAsia="Times New Roman"/>
                <w:sz w:val="22"/>
                <w:szCs w:val="22"/>
                <w:lang w:eastAsia="en-GB"/>
              </w:rPr>
              <w:t xml:space="preserve"> relation to non-members of the Society) the Society may also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D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Information will not generally be gathered from other sources.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D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Where it relates to non-compliance with Rules, information will be kept for 10 years</w:t>
            </w:r>
          </w:p>
        </w:tc>
      </w:tr>
      <w:tr w:rsidR="008C1FF8" w:rsidRPr="008C1FF8" w14:paraId="2A2FE9DA" w14:textId="77777777" w:rsidTr="008C1FF8">
        <w:trPr>
          <w:gridAfter w:val="1"/>
          <w:wAfter w:w="1181" w:type="dxa"/>
          <w:trHeight w:val="171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D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D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 relation to the Society's CPD/TCPD online recording tool which allows the capture of training provided by training suppliers.</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D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w:t>
            </w:r>
          </w:p>
        </w:tc>
        <w:tc>
          <w:tcPr>
            <w:tcW w:w="3690" w:type="dxa"/>
            <w:tcBorders>
              <w:top w:val="single" w:sz="4" w:space="0" w:color="auto"/>
              <w:left w:val="nil"/>
              <w:bottom w:val="single" w:sz="4" w:space="0" w:color="auto"/>
              <w:right w:val="single" w:sz="4" w:space="0" w:color="auto"/>
            </w:tcBorders>
            <w:shd w:val="clear" w:color="auto" w:fill="auto"/>
            <w:hideMark/>
          </w:tcPr>
          <w:p w14:paraId="2A2FE9D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in ensuring compliance with its Rules and the competence of the profession</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D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If you record on our online </w:t>
            </w:r>
            <w:proofErr w:type="gramStart"/>
            <w:r w:rsidRPr="00C565EF">
              <w:rPr>
                <w:rFonts w:eastAsia="Times New Roman"/>
                <w:sz w:val="22"/>
                <w:szCs w:val="22"/>
                <w:lang w:eastAsia="en-GB"/>
              </w:rPr>
              <w:t>system</w:t>
            </w:r>
            <w:proofErr w:type="gramEnd"/>
            <w:r w:rsidRPr="00C565EF">
              <w:rPr>
                <w:rFonts w:eastAsia="Times New Roman"/>
                <w:sz w:val="22"/>
                <w:szCs w:val="22"/>
                <w:lang w:eastAsia="en-GB"/>
              </w:rPr>
              <w:t xml:space="preserve"> your CPD/TCPD training record (including from other suppliers) you will be sharing that information with us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D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w:t>
            </w:r>
          </w:p>
        </w:tc>
      </w:tr>
      <w:tr w:rsidR="008C1FF8" w:rsidRPr="008C1FF8" w14:paraId="2A2FE9E1" w14:textId="77777777" w:rsidTr="008C1FF8">
        <w:trPr>
          <w:gridAfter w:val="1"/>
          <w:wAfter w:w="1181" w:type="dxa"/>
          <w:trHeight w:val="1710"/>
        </w:trPr>
        <w:tc>
          <w:tcPr>
            <w:tcW w:w="1995" w:type="dxa"/>
            <w:tcBorders>
              <w:top w:val="nil"/>
              <w:left w:val="single" w:sz="4" w:space="0" w:color="auto"/>
              <w:bottom w:val="single" w:sz="4" w:space="0" w:color="auto"/>
              <w:right w:val="single" w:sz="4" w:space="0" w:color="auto"/>
            </w:tcBorders>
            <w:shd w:val="clear" w:color="auto" w:fill="auto"/>
            <w:hideMark/>
          </w:tcPr>
          <w:p w14:paraId="2A2FE9D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700" w:type="dxa"/>
            <w:gridSpan w:val="2"/>
            <w:tcBorders>
              <w:top w:val="nil"/>
              <w:left w:val="nil"/>
              <w:bottom w:val="single" w:sz="4" w:space="0" w:color="auto"/>
              <w:right w:val="single" w:sz="4" w:space="0" w:color="auto"/>
            </w:tcBorders>
            <w:shd w:val="clear" w:color="auto" w:fill="auto"/>
            <w:hideMark/>
          </w:tcPr>
          <w:p w14:paraId="2A2FE9D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 relation to the Society's monitoring of membership compliance with their CPD/TCPD obligations</w:t>
            </w:r>
          </w:p>
        </w:tc>
        <w:tc>
          <w:tcPr>
            <w:tcW w:w="2340" w:type="dxa"/>
            <w:gridSpan w:val="2"/>
            <w:tcBorders>
              <w:top w:val="nil"/>
              <w:left w:val="nil"/>
              <w:bottom w:val="single" w:sz="4" w:space="0" w:color="auto"/>
              <w:right w:val="single" w:sz="4" w:space="0" w:color="auto"/>
            </w:tcBorders>
            <w:shd w:val="clear" w:color="auto" w:fill="auto"/>
            <w:hideMark/>
          </w:tcPr>
          <w:p w14:paraId="2A2FE9D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committees and the SSDT</w:t>
            </w:r>
          </w:p>
        </w:tc>
        <w:tc>
          <w:tcPr>
            <w:tcW w:w="3690" w:type="dxa"/>
            <w:tcBorders>
              <w:top w:val="nil"/>
              <w:left w:val="nil"/>
              <w:bottom w:val="single" w:sz="4" w:space="0" w:color="auto"/>
              <w:right w:val="single" w:sz="4" w:space="0" w:color="auto"/>
            </w:tcBorders>
            <w:shd w:val="clear" w:color="auto" w:fill="auto"/>
            <w:hideMark/>
          </w:tcPr>
          <w:p w14:paraId="2A2FE9D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in ensuring compliance with its Rules and the competence of the profession</w:t>
            </w:r>
          </w:p>
        </w:tc>
        <w:tc>
          <w:tcPr>
            <w:tcW w:w="2700" w:type="dxa"/>
            <w:gridSpan w:val="3"/>
            <w:tcBorders>
              <w:top w:val="nil"/>
              <w:left w:val="nil"/>
              <w:bottom w:val="single" w:sz="4" w:space="0" w:color="auto"/>
              <w:right w:val="single" w:sz="4" w:space="0" w:color="auto"/>
            </w:tcBorders>
            <w:shd w:val="clear" w:color="auto" w:fill="auto"/>
            <w:hideMark/>
          </w:tcPr>
          <w:p w14:paraId="2A2FE9D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or third parties such as: CPD/TCPD providers </w:t>
            </w:r>
          </w:p>
        </w:tc>
        <w:tc>
          <w:tcPr>
            <w:tcW w:w="2790" w:type="dxa"/>
            <w:gridSpan w:val="3"/>
            <w:tcBorders>
              <w:top w:val="nil"/>
              <w:left w:val="nil"/>
              <w:bottom w:val="single" w:sz="4" w:space="0" w:color="auto"/>
              <w:right w:val="single" w:sz="4" w:space="0" w:color="auto"/>
            </w:tcBorders>
            <w:shd w:val="clear" w:color="auto" w:fill="auto"/>
            <w:hideMark/>
          </w:tcPr>
          <w:p w14:paraId="2A2FE9E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Where it relates to non-compliance with Rules, information will be kept for 10 years</w:t>
            </w:r>
          </w:p>
        </w:tc>
      </w:tr>
      <w:tr w:rsidR="008C1FF8" w:rsidRPr="008C1FF8" w14:paraId="2A2FE9E8" w14:textId="77777777" w:rsidTr="008C1FF8">
        <w:trPr>
          <w:gridAfter w:val="1"/>
          <w:wAfter w:w="1181" w:type="dxa"/>
          <w:trHeight w:val="1710"/>
        </w:trPr>
        <w:tc>
          <w:tcPr>
            <w:tcW w:w="1995" w:type="dxa"/>
            <w:tcBorders>
              <w:top w:val="nil"/>
              <w:left w:val="single" w:sz="4" w:space="0" w:color="auto"/>
              <w:bottom w:val="single" w:sz="4" w:space="0" w:color="auto"/>
              <w:right w:val="single" w:sz="4" w:space="0" w:color="auto"/>
            </w:tcBorders>
            <w:shd w:val="clear" w:color="auto" w:fill="auto"/>
            <w:hideMark/>
          </w:tcPr>
          <w:p w14:paraId="2A2FE9E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Qualifications and Examinations </w:t>
            </w:r>
          </w:p>
        </w:tc>
        <w:tc>
          <w:tcPr>
            <w:tcW w:w="2700" w:type="dxa"/>
            <w:gridSpan w:val="2"/>
            <w:tcBorders>
              <w:top w:val="nil"/>
              <w:left w:val="nil"/>
              <w:bottom w:val="single" w:sz="4" w:space="0" w:color="auto"/>
              <w:right w:val="single" w:sz="4" w:space="0" w:color="auto"/>
            </w:tcBorders>
            <w:shd w:val="clear" w:color="auto" w:fill="auto"/>
            <w:hideMark/>
          </w:tcPr>
          <w:p w14:paraId="2A2FE9E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Including traineeships, Society exams, accredited specialisms, solicitor advocate qualifications etc</w:t>
            </w:r>
          </w:p>
        </w:tc>
        <w:tc>
          <w:tcPr>
            <w:tcW w:w="2340" w:type="dxa"/>
            <w:gridSpan w:val="2"/>
            <w:tcBorders>
              <w:top w:val="nil"/>
              <w:left w:val="nil"/>
              <w:bottom w:val="single" w:sz="4" w:space="0" w:color="auto"/>
              <w:right w:val="single" w:sz="4" w:space="0" w:color="auto"/>
            </w:tcBorders>
            <w:shd w:val="clear" w:color="auto" w:fill="auto"/>
            <w:hideMark/>
          </w:tcPr>
          <w:p w14:paraId="2A2FE9E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Staff, examiners, </w:t>
            </w:r>
            <w:proofErr w:type="gramStart"/>
            <w:r w:rsidRPr="00C565EF">
              <w:rPr>
                <w:rFonts w:eastAsia="Times New Roman"/>
                <w:sz w:val="22"/>
                <w:szCs w:val="22"/>
                <w:lang w:eastAsia="en-GB"/>
              </w:rPr>
              <w:t>assessors</w:t>
            </w:r>
            <w:proofErr w:type="gramEnd"/>
            <w:r w:rsidRPr="00C565EF">
              <w:rPr>
                <w:rFonts w:eastAsia="Times New Roman"/>
                <w:sz w:val="22"/>
                <w:szCs w:val="22"/>
                <w:lang w:eastAsia="en-GB"/>
              </w:rPr>
              <w:t xml:space="preserve"> and committees</w:t>
            </w:r>
          </w:p>
        </w:tc>
        <w:tc>
          <w:tcPr>
            <w:tcW w:w="3690" w:type="dxa"/>
            <w:tcBorders>
              <w:top w:val="nil"/>
              <w:left w:val="nil"/>
              <w:bottom w:val="single" w:sz="4" w:space="0" w:color="auto"/>
              <w:right w:val="single" w:sz="4" w:space="0" w:color="auto"/>
            </w:tcBorders>
            <w:shd w:val="clear" w:color="auto" w:fill="auto"/>
            <w:hideMark/>
          </w:tcPr>
          <w:p w14:paraId="2A2FE9E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in ensuring compliance with its Rules and the competence of the profession</w:t>
            </w:r>
          </w:p>
        </w:tc>
        <w:tc>
          <w:tcPr>
            <w:tcW w:w="2700" w:type="dxa"/>
            <w:gridSpan w:val="3"/>
            <w:tcBorders>
              <w:top w:val="nil"/>
              <w:left w:val="nil"/>
              <w:bottom w:val="single" w:sz="4" w:space="0" w:color="auto"/>
              <w:right w:val="single" w:sz="4" w:space="0" w:color="auto"/>
            </w:tcBorders>
            <w:shd w:val="clear" w:color="auto" w:fill="auto"/>
            <w:hideMark/>
          </w:tcPr>
          <w:p w14:paraId="2A2FE9E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the SLCC, Disclosure Scotland, academic institutions, other training providers, referees, the SQA and other regulators</w:t>
            </w:r>
          </w:p>
        </w:tc>
        <w:tc>
          <w:tcPr>
            <w:tcW w:w="2790" w:type="dxa"/>
            <w:gridSpan w:val="3"/>
            <w:tcBorders>
              <w:top w:val="nil"/>
              <w:left w:val="nil"/>
              <w:bottom w:val="single" w:sz="4" w:space="0" w:color="auto"/>
              <w:right w:val="single" w:sz="4" w:space="0" w:color="auto"/>
            </w:tcBorders>
            <w:shd w:val="clear" w:color="auto" w:fill="auto"/>
            <w:hideMark/>
          </w:tcPr>
          <w:p w14:paraId="2A2FE9E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Where it relates to a member's status/record, information will be kept indefinitely.</w:t>
            </w:r>
          </w:p>
        </w:tc>
      </w:tr>
      <w:tr w:rsidR="00C565EF" w:rsidRPr="008C1FF8" w14:paraId="2A2FE9EF" w14:textId="77777777" w:rsidTr="008C1FF8">
        <w:trPr>
          <w:gridAfter w:val="1"/>
          <w:wAfter w:w="1181" w:type="dxa"/>
          <w:trHeight w:val="1140"/>
        </w:trPr>
        <w:tc>
          <w:tcPr>
            <w:tcW w:w="1995" w:type="dxa"/>
            <w:tcBorders>
              <w:top w:val="single" w:sz="4" w:space="0" w:color="auto"/>
              <w:left w:val="single" w:sz="4" w:space="0" w:color="auto"/>
              <w:bottom w:val="single" w:sz="4" w:space="0" w:color="auto"/>
              <w:right w:val="nil"/>
            </w:tcBorders>
            <w:shd w:val="clear" w:color="auto" w:fill="auto"/>
            <w:hideMark/>
          </w:tcPr>
          <w:p w14:paraId="2A2FE9E9" w14:textId="77777777" w:rsidR="00C565EF" w:rsidRPr="00C565EF" w:rsidRDefault="00C565EF" w:rsidP="00C565EF">
            <w:pPr>
              <w:rPr>
                <w:rFonts w:eastAsia="Times New Roman"/>
                <w:sz w:val="22"/>
                <w:szCs w:val="22"/>
                <w:lang w:eastAsia="en-GB"/>
              </w:rPr>
            </w:pPr>
          </w:p>
        </w:tc>
        <w:tc>
          <w:tcPr>
            <w:tcW w:w="2700" w:type="dxa"/>
            <w:gridSpan w:val="2"/>
            <w:tcBorders>
              <w:top w:val="nil"/>
              <w:left w:val="single" w:sz="4" w:space="0" w:color="auto"/>
              <w:bottom w:val="single" w:sz="4" w:space="0" w:color="auto"/>
              <w:right w:val="single" w:sz="4" w:space="0" w:color="auto"/>
            </w:tcBorders>
            <w:shd w:val="clear" w:color="auto" w:fill="auto"/>
            <w:hideMark/>
          </w:tcPr>
          <w:p w14:paraId="2A2FE9E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Participation in our </w:t>
            </w:r>
            <w:proofErr w:type="spellStart"/>
            <w:r w:rsidRPr="00C565EF">
              <w:rPr>
                <w:rFonts w:eastAsia="Times New Roman"/>
                <w:sz w:val="22"/>
                <w:szCs w:val="22"/>
                <w:lang w:eastAsia="en-GB"/>
              </w:rPr>
              <w:t>Streetlaw</w:t>
            </w:r>
            <w:proofErr w:type="spellEnd"/>
            <w:r w:rsidRPr="00C565EF">
              <w:rPr>
                <w:rFonts w:eastAsia="Times New Roman"/>
                <w:sz w:val="22"/>
                <w:szCs w:val="22"/>
                <w:lang w:eastAsia="en-GB"/>
              </w:rPr>
              <w:t xml:space="preserve"> programme, Donald Dewar Debating competition and other outreach work</w:t>
            </w:r>
          </w:p>
        </w:tc>
        <w:tc>
          <w:tcPr>
            <w:tcW w:w="2340" w:type="dxa"/>
            <w:gridSpan w:val="2"/>
            <w:tcBorders>
              <w:top w:val="nil"/>
              <w:left w:val="nil"/>
              <w:bottom w:val="single" w:sz="4" w:space="0" w:color="auto"/>
              <w:right w:val="single" w:sz="4" w:space="0" w:color="auto"/>
            </w:tcBorders>
            <w:shd w:val="clear" w:color="auto" w:fill="auto"/>
            <w:hideMark/>
          </w:tcPr>
          <w:p w14:paraId="2A2FE9E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committees, Suppliers and Advisors where appropriate</w:t>
            </w:r>
          </w:p>
        </w:tc>
        <w:tc>
          <w:tcPr>
            <w:tcW w:w="3690" w:type="dxa"/>
            <w:tcBorders>
              <w:top w:val="nil"/>
              <w:left w:val="nil"/>
              <w:bottom w:val="single" w:sz="4" w:space="0" w:color="auto"/>
              <w:right w:val="single" w:sz="4" w:space="0" w:color="auto"/>
            </w:tcBorders>
            <w:shd w:val="clear" w:color="auto" w:fill="auto"/>
            <w:hideMark/>
          </w:tcPr>
          <w:p w14:paraId="2A2FE9E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the schools managing consent and pupil/participant data</w:t>
            </w:r>
          </w:p>
        </w:tc>
        <w:tc>
          <w:tcPr>
            <w:tcW w:w="2700" w:type="dxa"/>
            <w:gridSpan w:val="3"/>
            <w:tcBorders>
              <w:top w:val="nil"/>
              <w:left w:val="nil"/>
              <w:bottom w:val="single" w:sz="4" w:space="0" w:color="auto"/>
              <w:right w:val="single" w:sz="4" w:space="0" w:color="auto"/>
            </w:tcBorders>
            <w:shd w:val="clear" w:color="auto" w:fill="auto"/>
            <w:hideMark/>
          </w:tcPr>
          <w:p w14:paraId="2A2FE9E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beyond the participating Schools.</w:t>
            </w:r>
          </w:p>
        </w:tc>
        <w:tc>
          <w:tcPr>
            <w:tcW w:w="2790" w:type="dxa"/>
            <w:gridSpan w:val="3"/>
            <w:tcBorders>
              <w:top w:val="nil"/>
              <w:left w:val="nil"/>
              <w:bottom w:val="single" w:sz="4" w:space="0" w:color="auto"/>
              <w:right w:val="single" w:sz="4" w:space="0" w:color="auto"/>
            </w:tcBorders>
            <w:shd w:val="clear" w:color="auto" w:fill="auto"/>
            <w:hideMark/>
          </w:tcPr>
          <w:p w14:paraId="2A2FE9E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1 year</w:t>
            </w:r>
          </w:p>
        </w:tc>
      </w:tr>
      <w:tr w:rsidR="00040A73" w:rsidRPr="008C1FF8" w14:paraId="2A2FE9F6" w14:textId="77777777" w:rsidTr="008C1FF8">
        <w:trPr>
          <w:gridAfter w:val="1"/>
          <w:wAfter w:w="1181" w:type="dxa"/>
          <w:trHeight w:val="171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9F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 xml:space="preserve">General enquiries </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9F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By e-mail, on-line services, telephone, </w:t>
            </w:r>
            <w:proofErr w:type="gramStart"/>
            <w:r w:rsidRPr="00C565EF">
              <w:rPr>
                <w:rFonts w:eastAsia="Times New Roman"/>
                <w:sz w:val="22"/>
                <w:szCs w:val="22"/>
                <w:lang w:eastAsia="en-GB"/>
              </w:rPr>
              <w:t>interview</w:t>
            </w:r>
            <w:proofErr w:type="gramEnd"/>
            <w:r w:rsidRPr="00C565EF">
              <w:rPr>
                <w:rFonts w:eastAsia="Times New Roman"/>
                <w:sz w:val="22"/>
                <w:szCs w:val="22"/>
                <w:lang w:eastAsia="en-GB"/>
              </w:rPr>
              <w:t xml:space="preserve"> or other means</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9F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committees, Suppliers and Advisors where appropriate</w:t>
            </w:r>
          </w:p>
        </w:tc>
        <w:tc>
          <w:tcPr>
            <w:tcW w:w="3690" w:type="dxa"/>
            <w:tcBorders>
              <w:top w:val="single" w:sz="4" w:space="0" w:color="auto"/>
              <w:left w:val="nil"/>
              <w:bottom w:val="single" w:sz="4" w:space="0" w:color="auto"/>
              <w:right w:val="single" w:sz="4" w:space="0" w:color="auto"/>
            </w:tcBorders>
            <w:shd w:val="clear" w:color="auto" w:fill="auto"/>
            <w:hideMark/>
          </w:tcPr>
          <w:p w14:paraId="2A2FE9F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9F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beyond Society's records, and Suppliers and Advisors.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9F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1 year unless regulatory action is taken in which case it will be retained for 5 years. Where it relates to a member's status/record, information may be kept indefinitely.</w:t>
            </w:r>
          </w:p>
        </w:tc>
      </w:tr>
      <w:tr w:rsidR="008C1FF8" w:rsidRPr="008C1FF8" w14:paraId="2A2FE9FD" w14:textId="77777777" w:rsidTr="008C1FF8">
        <w:trPr>
          <w:gridAfter w:val="1"/>
          <w:wAfter w:w="1181" w:type="dxa"/>
          <w:trHeight w:val="1710"/>
        </w:trPr>
        <w:tc>
          <w:tcPr>
            <w:tcW w:w="1995" w:type="dxa"/>
            <w:tcBorders>
              <w:top w:val="nil"/>
              <w:left w:val="single" w:sz="4" w:space="0" w:color="auto"/>
              <w:bottom w:val="single" w:sz="4" w:space="0" w:color="auto"/>
              <w:right w:val="single" w:sz="4" w:space="0" w:color="auto"/>
            </w:tcBorders>
            <w:shd w:val="clear" w:color="auto" w:fill="auto"/>
            <w:hideMark/>
          </w:tcPr>
          <w:p w14:paraId="2A2FE9F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Governance</w:t>
            </w:r>
          </w:p>
        </w:tc>
        <w:tc>
          <w:tcPr>
            <w:tcW w:w="2700" w:type="dxa"/>
            <w:gridSpan w:val="2"/>
            <w:tcBorders>
              <w:top w:val="nil"/>
              <w:left w:val="nil"/>
              <w:bottom w:val="single" w:sz="4" w:space="0" w:color="auto"/>
              <w:right w:val="single" w:sz="4" w:space="0" w:color="auto"/>
            </w:tcBorders>
            <w:shd w:val="clear" w:color="auto" w:fill="auto"/>
            <w:hideMark/>
          </w:tcPr>
          <w:p w14:paraId="2A2FE9F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Council and committees supporting the work of the Society - agendas and minutes</w:t>
            </w:r>
          </w:p>
        </w:tc>
        <w:tc>
          <w:tcPr>
            <w:tcW w:w="2340" w:type="dxa"/>
            <w:gridSpan w:val="2"/>
            <w:tcBorders>
              <w:top w:val="nil"/>
              <w:left w:val="nil"/>
              <w:bottom w:val="single" w:sz="4" w:space="0" w:color="auto"/>
              <w:right w:val="single" w:sz="4" w:space="0" w:color="auto"/>
            </w:tcBorders>
            <w:shd w:val="clear" w:color="auto" w:fill="auto"/>
            <w:hideMark/>
          </w:tcPr>
          <w:p w14:paraId="2A2FE9F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9FA" w14:textId="6AB2EE8B"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in ensuring compliance with its Rules and the competence of the profession</w:t>
            </w:r>
            <w:r w:rsidR="00C73090">
              <w:rPr>
                <w:rFonts w:eastAsia="Times New Roman"/>
                <w:sz w:val="22"/>
                <w:szCs w:val="22"/>
                <w:lang w:eastAsia="en-GB"/>
              </w:rPr>
              <w:t xml:space="preserve">. </w:t>
            </w:r>
            <w:r w:rsidR="00C73090" w:rsidRPr="005F220C">
              <w:rPr>
                <w:rFonts w:eastAsia="Times New Roman"/>
                <w:sz w:val="22"/>
                <w:szCs w:val="22"/>
                <w:lang w:eastAsia="en-GB"/>
              </w:rPr>
              <w:t>Committee members shall not record meetings, but Society Staff may for the purpose of producing an accurate Minute.</w:t>
            </w:r>
          </w:p>
        </w:tc>
        <w:tc>
          <w:tcPr>
            <w:tcW w:w="2700" w:type="dxa"/>
            <w:gridSpan w:val="3"/>
            <w:tcBorders>
              <w:top w:val="nil"/>
              <w:left w:val="nil"/>
              <w:bottom w:val="single" w:sz="4" w:space="0" w:color="auto"/>
              <w:right w:val="single" w:sz="4" w:space="0" w:color="auto"/>
            </w:tcBorders>
            <w:shd w:val="clear" w:color="auto" w:fill="auto"/>
            <w:hideMark/>
          </w:tcPr>
          <w:p w14:paraId="2A2FE9F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or third parties such as Disclosure Scotland, academic institutions, the </w:t>
            </w:r>
            <w:proofErr w:type="gramStart"/>
            <w:r w:rsidRPr="00C565EF">
              <w:rPr>
                <w:rFonts w:eastAsia="Times New Roman"/>
                <w:sz w:val="22"/>
                <w:szCs w:val="22"/>
                <w:lang w:eastAsia="en-GB"/>
              </w:rPr>
              <w:t>SQA,SLCC</w:t>
            </w:r>
            <w:proofErr w:type="gramEnd"/>
            <w:r w:rsidRPr="00C565EF">
              <w:rPr>
                <w:rFonts w:eastAsia="Times New Roman"/>
                <w:sz w:val="22"/>
                <w:szCs w:val="22"/>
                <w:lang w:eastAsia="en-GB"/>
              </w:rPr>
              <w:t xml:space="preserve">,SLAB, SSDT, referees and other regulators </w:t>
            </w:r>
          </w:p>
        </w:tc>
        <w:tc>
          <w:tcPr>
            <w:tcW w:w="2790" w:type="dxa"/>
            <w:gridSpan w:val="3"/>
            <w:tcBorders>
              <w:top w:val="nil"/>
              <w:left w:val="nil"/>
              <w:bottom w:val="single" w:sz="4" w:space="0" w:color="auto"/>
              <w:right w:val="single" w:sz="4" w:space="0" w:color="auto"/>
            </w:tcBorders>
            <w:shd w:val="clear" w:color="auto" w:fill="auto"/>
            <w:hideMark/>
          </w:tcPr>
          <w:p w14:paraId="2A2FE9FC" w14:textId="4B216E9C"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Committee minutes will generally be kept indefinitely.</w:t>
            </w:r>
            <w:r w:rsidR="00C73090">
              <w:rPr>
                <w:rFonts w:eastAsia="Times New Roman"/>
                <w:sz w:val="22"/>
                <w:szCs w:val="22"/>
                <w:lang w:eastAsia="en-GB"/>
              </w:rPr>
              <w:t xml:space="preserve"> </w:t>
            </w:r>
            <w:r w:rsidR="00C73090" w:rsidRPr="005F220C">
              <w:rPr>
                <w:rFonts w:eastAsia="Times New Roman"/>
                <w:sz w:val="22"/>
                <w:szCs w:val="22"/>
                <w:lang w:eastAsia="en-GB"/>
              </w:rPr>
              <w:t>Any recording of a meeting will be destroyed within 21 days</w:t>
            </w:r>
          </w:p>
        </w:tc>
      </w:tr>
      <w:tr w:rsidR="008C1FF8" w:rsidRPr="008C1FF8" w14:paraId="2A2FEA04" w14:textId="77777777" w:rsidTr="008C1FF8">
        <w:trPr>
          <w:gridAfter w:val="1"/>
          <w:wAfter w:w="1181" w:type="dxa"/>
          <w:trHeight w:val="2280"/>
        </w:trPr>
        <w:tc>
          <w:tcPr>
            <w:tcW w:w="1995" w:type="dxa"/>
            <w:tcBorders>
              <w:top w:val="nil"/>
              <w:left w:val="single" w:sz="4" w:space="0" w:color="auto"/>
              <w:bottom w:val="single" w:sz="4" w:space="0" w:color="auto"/>
              <w:right w:val="single" w:sz="4" w:space="0" w:color="auto"/>
            </w:tcBorders>
            <w:shd w:val="clear" w:color="auto" w:fill="auto"/>
            <w:hideMark/>
          </w:tcPr>
          <w:p w14:paraId="2A2FE9F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Human resources</w:t>
            </w:r>
          </w:p>
        </w:tc>
        <w:tc>
          <w:tcPr>
            <w:tcW w:w="2700" w:type="dxa"/>
            <w:gridSpan w:val="2"/>
            <w:tcBorders>
              <w:top w:val="nil"/>
              <w:left w:val="nil"/>
              <w:bottom w:val="single" w:sz="4" w:space="0" w:color="auto"/>
              <w:right w:val="single" w:sz="4" w:space="0" w:color="auto"/>
            </w:tcBorders>
            <w:shd w:val="clear" w:color="auto" w:fill="auto"/>
            <w:hideMark/>
          </w:tcPr>
          <w:p w14:paraId="2A2FE9F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Employment and all related processes such as </w:t>
            </w:r>
            <w:proofErr w:type="gramStart"/>
            <w:r w:rsidRPr="00C565EF">
              <w:rPr>
                <w:rFonts w:eastAsia="Times New Roman"/>
                <w:sz w:val="22"/>
                <w:szCs w:val="22"/>
                <w:lang w:eastAsia="en-GB"/>
              </w:rPr>
              <w:t>recruitment,  grievance</w:t>
            </w:r>
            <w:proofErr w:type="gramEnd"/>
            <w:r w:rsidRPr="00C565EF">
              <w:rPr>
                <w:rFonts w:eastAsia="Times New Roman"/>
                <w:sz w:val="22"/>
                <w:szCs w:val="22"/>
                <w:lang w:eastAsia="en-GB"/>
              </w:rPr>
              <w:t xml:space="preserve"> and disciplinary processes</w:t>
            </w:r>
          </w:p>
        </w:tc>
        <w:tc>
          <w:tcPr>
            <w:tcW w:w="2340" w:type="dxa"/>
            <w:gridSpan w:val="2"/>
            <w:tcBorders>
              <w:top w:val="nil"/>
              <w:left w:val="nil"/>
              <w:bottom w:val="single" w:sz="4" w:space="0" w:color="auto"/>
              <w:right w:val="single" w:sz="4" w:space="0" w:color="auto"/>
            </w:tcBorders>
            <w:shd w:val="clear" w:color="auto" w:fill="auto"/>
            <w:hideMark/>
          </w:tcPr>
          <w:p w14:paraId="2A2FEA0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HR and Finance team Staff, Senior </w:t>
            </w:r>
            <w:proofErr w:type="gramStart"/>
            <w:r w:rsidRPr="00C565EF">
              <w:rPr>
                <w:rFonts w:eastAsia="Times New Roman"/>
                <w:sz w:val="22"/>
                <w:szCs w:val="22"/>
                <w:lang w:eastAsia="en-GB"/>
              </w:rPr>
              <w:t>management</w:t>
            </w:r>
            <w:proofErr w:type="gramEnd"/>
            <w:r w:rsidRPr="00C565EF">
              <w:rPr>
                <w:rFonts w:eastAsia="Times New Roman"/>
                <w:sz w:val="22"/>
                <w:szCs w:val="22"/>
                <w:lang w:eastAsia="en-GB"/>
              </w:rPr>
              <w:t xml:space="preserve"> and Board/Council where appropriate and Advisors where appropriate</w:t>
            </w:r>
          </w:p>
        </w:tc>
        <w:tc>
          <w:tcPr>
            <w:tcW w:w="3690" w:type="dxa"/>
            <w:tcBorders>
              <w:top w:val="nil"/>
              <w:left w:val="nil"/>
              <w:bottom w:val="single" w:sz="4" w:space="0" w:color="auto"/>
              <w:right w:val="single" w:sz="4" w:space="0" w:color="auto"/>
            </w:tcBorders>
            <w:shd w:val="clear" w:color="auto" w:fill="auto"/>
            <w:hideMark/>
          </w:tcPr>
          <w:p w14:paraId="2A2FEA0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the legal obligation flowing from the relevant statutory provisions. Additionally,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A0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HMRC, DWP, former employers, other referees, academic institutions, the SQA and other regulators</w:t>
            </w:r>
          </w:p>
        </w:tc>
        <w:tc>
          <w:tcPr>
            <w:tcW w:w="2790" w:type="dxa"/>
            <w:gridSpan w:val="3"/>
            <w:tcBorders>
              <w:top w:val="nil"/>
              <w:left w:val="nil"/>
              <w:bottom w:val="single" w:sz="4" w:space="0" w:color="auto"/>
              <w:right w:val="single" w:sz="4" w:space="0" w:color="auto"/>
            </w:tcBorders>
            <w:shd w:val="clear" w:color="auto" w:fill="auto"/>
            <w:hideMark/>
          </w:tcPr>
          <w:p w14:paraId="2A2FEA0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7 years. Where it relates to Staff status/record, information may be kept indefinitely</w:t>
            </w:r>
          </w:p>
        </w:tc>
      </w:tr>
      <w:tr w:rsidR="008C1FF8" w:rsidRPr="008C1FF8" w14:paraId="2A2FEA0B" w14:textId="77777777" w:rsidTr="008C1FF8">
        <w:trPr>
          <w:gridAfter w:val="1"/>
          <w:wAfter w:w="1181" w:type="dxa"/>
          <w:trHeight w:val="228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A0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Finance</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A0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Payments and receipts including Staff payments, </w:t>
            </w:r>
            <w:proofErr w:type="gramStart"/>
            <w:r w:rsidRPr="00C565EF">
              <w:rPr>
                <w:rFonts w:eastAsia="Times New Roman"/>
                <w:sz w:val="22"/>
                <w:szCs w:val="22"/>
                <w:lang w:eastAsia="en-GB"/>
              </w:rPr>
              <w:t>taxation</w:t>
            </w:r>
            <w:proofErr w:type="gramEnd"/>
            <w:r w:rsidRPr="00C565EF">
              <w:rPr>
                <w:rFonts w:eastAsia="Times New Roman"/>
                <w:sz w:val="22"/>
                <w:szCs w:val="22"/>
                <w:lang w:eastAsia="en-GB"/>
              </w:rPr>
              <w:t xml:space="preserve"> and pensions. Bank details (though we do not retain credit or debit card numbers)</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A0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Finance team Staff, Senior </w:t>
            </w:r>
            <w:proofErr w:type="gramStart"/>
            <w:r w:rsidRPr="00C565EF">
              <w:rPr>
                <w:rFonts w:eastAsia="Times New Roman"/>
                <w:sz w:val="22"/>
                <w:szCs w:val="22"/>
                <w:lang w:eastAsia="en-GB"/>
              </w:rPr>
              <w:t>management</w:t>
            </w:r>
            <w:proofErr w:type="gramEnd"/>
            <w:r w:rsidRPr="00C565EF">
              <w:rPr>
                <w:rFonts w:eastAsia="Times New Roman"/>
                <w:sz w:val="22"/>
                <w:szCs w:val="22"/>
                <w:lang w:eastAsia="en-GB"/>
              </w:rPr>
              <w:t xml:space="preserve"> and Board/Council where appropriate</w:t>
            </w:r>
          </w:p>
        </w:tc>
        <w:tc>
          <w:tcPr>
            <w:tcW w:w="3690" w:type="dxa"/>
            <w:tcBorders>
              <w:top w:val="single" w:sz="4" w:space="0" w:color="auto"/>
              <w:left w:val="nil"/>
              <w:bottom w:val="single" w:sz="4" w:space="0" w:color="auto"/>
              <w:right w:val="single" w:sz="4" w:space="0" w:color="auto"/>
            </w:tcBorders>
            <w:shd w:val="clear" w:color="auto" w:fill="auto"/>
            <w:hideMark/>
          </w:tcPr>
          <w:p w14:paraId="2A2FEA0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Primarily the Society will rely on the legal obligation flowing from the relevant statutory provisions. Additionally, the Society will rely on its legitimate interest and obligation to fulfil a task or perform a function in the public interest or protect members of the public. Where appropriate the Society may also rely on specific consent and/or </w:t>
            </w:r>
            <w:r w:rsidRPr="00C565EF">
              <w:rPr>
                <w:rFonts w:eastAsia="Times New Roman"/>
                <w:sz w:val="22"/>
                <w:szCs w:val="22"/>
                <w:lang w:eastAsia="en-GB"/>
              </w:rPr>
              <w:lastRenderedPageBreak/>
              <w:t>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A0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 xml:space="preserve">Information may be sourced/checked by reference to the Society's records or third parties such as: Companies House, credit referencing agencies, Suppliers, members of the Society, HMRC, DWP and debt agencies such as the </w:t>
            </w:r>
            <w:r w:rsidRPr="00C565EF">
              <w:rPr>
                <w:rFonts w:eastAsia="Times New Roman"/>
                <w:sz w:val="22"/>
                <w:szCs w:val="22"/>
                <w:lang w:eastAsia="en-GB"/>
              </w:rPr>
              <w:lastRenderedPageBreak/>
              <w:t>Student Loans Company.</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A0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Information will generally be kept for 7 years. Where it relates to Staff status/record, information may be kept indefinitely</w:t>
            </w:r>
          </w:p>
        </w:tc>
      </w:tr>
      <w:tr w:rsidR="008C1FF8" w:rsidRPr="008C1FF8" w14:paraId="2A2FEA12" w14:textId="77777777" w:rsidTr="008C1FF8">
        <w:trPr>
          <w:gridAfter w:val="1"/>
          <w:wAfter w:w="1181" w:type="dxa"/>
          <w:trHeight w:val="3135"/>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A0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Inspections</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A0D" w14:textId="77777777" w:rsidR="00C565EF" w:rsidRPr="00C565EF" w:rsidRDefault="00C565EF" w:rsidP="00C565EF">
            <w:pPr>
              <w:rPr>
                <w:rFonts w:eastAsia="Times New Roman"/>
                <w:sz w:val="22"/>
                <w:szCs w:val="22"/>
                <w:lang w:eastAsia="en-GB"/>
              </w:rPr>
            </w:pPr>
            <w:proofErr w:type="gramStart"/>
            <w:r w:rsidRPr="00C565EF">
              <w:rPr>
                <w:rFonts w:eastAsia="Times New Roman"/>
                <w:sz w:val="22"/>
                <w:szCs w:val="22"/>
                <w:lang w:eastAsia="en-GB"/>
              </w:rPr>
              <w:t>In the course of</w:t>
            </w:r>
            <w:proofErr w:type="gramEnd"/>
            <w:r w:rsidRPr="00C565EF">
              <w:rPr>
                <w:rFonts w:eastAsia="Times New Roman"/>
                <w:sz w:val="22"/>
                <w:szCs w:val="22"/>
                <w:lang w:eastAsia="en-GB"/>
              </w:rPr>
              <w:t xml:space="preserve"> inspections personal data relating to individual solicitors and their clients may be subject to compliance review</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A0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Staff, committees, relevant </w:t>
            </w:r>
            <w:proofErr w:type="gramStart"/>
            <w:r w:rsidRPr="00C565EF">
              <w:rPr>
                <w:rFonts w:eastAsia="Times New Roman"/>
                <w:sz w:val="22"/>
                <w:szCs w:val="22"/>
                <w:lang w:eastAsia="en-GB"/>
              </w:rPr>
              <w:t>authorities ,</w:t>
            </w:r>
            <w:proofErr w:type="gramEnd"/>
            <w:r w:rsidRPr="00C565EF">
              <w:rPr>
                <w:rFonts w:eastAsia="Times New Roman"/>
                <w:sz w:val="22"/>
                <w:szCs w:val="22"/>
                <w:lang w:eastAsia="en-GB"/>
              </w:rPr>
              <w:t xml:space="preserve"> regulators and the SSDT</w:t>
            </w:r>
          </w:p>
        </w:tc>
        <w:tc>
          <w:tcPr>
            <w:tcW w:w="3690" w:type="dxa"/>
            <w:tcBorders>
              <w:top w:val="single" w:sz="4" w:space="0" w:color="auto"/>
              <w:left w:val="nil"/>
              <w:bottom w:val="single" w:sz="4" w:space="0" w:color="auto"/>
              <w:right w:val="single" w:sz="4" w:space="0" w:color="auto"/>
            </w:tcBorders>
            <w:shd w:val="clear" w:color="auto" w:fill="auto"/>
            <w:hideMark/>
          </w:tcPr>
          <w:p w14:paraId="2A2FEA0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 Additionally, the Society may rely on the legal obligation flowing from the relevant statutory provisions or from its obligations to comply with the terms of any court order or authority granted to it in respect of an intervention.</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A1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the practice unit's records, or third parties such as: banks, </w:t>
            </w:r>
            <w:proofErr w:type="gramStart"/>
            <w:r w:rsidRPr="00C565EF">
              <w:rPr>
                <w:rFonts w:eastAsia="Times New Roman"/>
                <w:sz w:val="22"/>
                <w:szCs w:val="22"/>
                <w:lang w:eastAsia="en-GB"/>
              </w:rPr>
              <w:t>courts</w:t>
            </w:r>
            <w:proofErr w:type="gramEnd"/>
            <w:r w:rsidRPr="00C565EF">
              <w:rPr>
                <w:rFonts w:eastAsia="Times New Roman"/>
                <w:sz w:val="22"/>
                <w:szCs w:val="22"/>
                <w:lang w:eastAsia="en-GB"/>
              </w:rPr>
              <w:t xml:space="preserve"> and other practice units.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A1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or (if later) until the next full inspection. Where it relates to non-compliance with Rules or to a member's status/record, information may be kept indefinitely.</w:t>
            </w:r>
          </w:p>
        </w:tc>
      </w:tr>
      <w:tr w:rsidR="008C1FF8" w:rsidRPr="008C1FF8" w14:paraId="2A2FEA19" w14:textId="77777777" w:rsidTr="008C1FF8">
        <w:trPr>
          <w:gridAfter w:val="1"/>
          <w:wAfter w:w="1181" w:type="dxa"/>
          <w:trHeight w:val="231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A1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Interventions</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A14" w14:textId="77777777" w:rsidR="00C565EF" w:rsidRPr="00C565EF" w:rsidRDefault="00C565EF" w:rsidP="00C565EF">
            <w:pPr>
              <w:rPr>
                <w:rFonts w:eastAsia="Times New Roman"/>
                <w:sz w:val="22"/>
                <w:szCs w:val="22"/>
                <w:lang w:eastAsia="en-GB"/>
              </w:rPr>
            </w:pPr>
            <w:proofErr w:type="gramStart"/>
            <w:r w:rsidRPr="00C565EF">
              <w:rPr>
                <w:rFonts w:eastAsia="Times New Roman"/>
                <w:sz w:val="22"/>
                <w:szCs w:val="22"/>
                <w:lang w:eastAsia="en-GB"/>
              </w:rPr>
              <w:t>In the course of</w:t>
            </w:r>
            <w:proofErr w:type="gramEnd"/>
            <w:r w:rsidRPr="00C565EF">
              <w:rPr>
                <w:rFonts w:eastAsia="Times New Roman"/>
                <w:sz w:val="22"/>
                <w:szCs w:val="22"/>
                <w:lang w:eastAsia="en-GB"/>
              </w:rPr>
              <w:t xml:space="preserve"> interventions personal data relating to individual solicitors and their clients may be subject to review</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A1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Staff, committees, relevant </w:t>
            </w:r>
            <w:proofErr w:type="gramStart"/>
            <w:r w:rsidRPr="00C565EF">
              <w:rPr>
                <w:rFonts w:eastAsia="Times New Roman"/>
                <w:sz w:val="22"/>
                <w:szCs w:val="22"/>
                <w:lang w:eastAsia="en-GB"/>
              </w:rPr>
              <w:t>authorities ,</w:t>
            </w:r>
            <w:proofErr w:type="gramEnd"/>
            <w:r w:rsidRPr="00C565EF">
              <w:rPr>
                <w:rFonts w:eastAsia="Times New Roman"/>
                <w:sz w:val="22"/>
                <w:szCs w:val="22"/>
                <w:lang w:eastAsia="en-GB"/>
              </w:rPr>
              <w:t xml:space="preserve"> regulators and the SSDT</w:t>
            </w:r>
          </w:p>
        </w:tc>
        <w:tc>
          <w:tcPr>
            <w:tcW w:w="3690" w:type="dxa"/>
            <w:tcBorders>
              <w:top w:val="single" w:sz="4" w:space="0" w:color="auto"/>
              <w:left w:val="nil"/>
              <w:bottom w:val="single" w:sz="4" w:space="0" w:color="auto"/>
              <w:right w:val="single" w:sz="4" w:space="0" w:color="auto"/>
            </w:tcBorders>
            <w:shd w:val="clear" w:color="auto" w:fill="auto"/>
            <w:hideMark/>
          </w:tcPr>
          <w:p w14:paraId="2A2FEA1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 Additionally, the Society may rely on the legal obligation flowing from the relevant statutory provisions.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A1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may be sourced/checked by reference to the Society's records, the practice unit's records, or third parties such as: banks, </w:t>
            </w:r>
            <w:proofErr w:type="gramStart"/>
            <w:r w:rsidRPr="00C565EF">
              <w:rPr>
                <w:rFonts w:eastAsia="Times New Roman"/>
                <w:sz w:val="22"/>
                <w:szCs w:val="22"/>
                <w:lang w:eastAsia="en-GB"/>
              </w:rPr>
              <w:t>courts</w:t>
            </w:r>
            <w:proofErr w:type="gramEnd"/>
            <w:r w:rsidRPr="00C565EF">
              <w:rPr>
                <w:rFonts w:eastAsia="Times New Roman"/>
                <w:sz w:val="22"/>
                <w:szCs w:val="22"/>
                <w:lang w:eastAsia="en-GB"/>
              </w:rPr>
              <w:t xml:space="preserve"> and other practice units.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A1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or for the period specified in the Society's guidance on the retention of client files. Client papers such as wills and titles will be kept until they can be transferred appropriately.</w:t>
            </w:r>
          </w:p>
        </w:tc>
      </w:tr>
      <w:tr w:rsidR="008C1FF8" w:rsidRPr="008C1FF8" w14:paraId="2A2FEA20" w14:textId="77777777" w:rsidTr="008C1FF8">
        <w:trPr>
          <w:gridAfter w:val="1"/>
          <w:wAfter w:w="1181" w:type="dxa"/>
          <w:trHeight w:val="1140"/>
        </w:trPr>
        <w:tc>
          <w:tcPr>
            <w:tcW w:w="1995" w:type="dxa"/>
            <w:tcBorders>
              <w:top w:val="nil"/>
              <w:left w:val="single" w:sz="4" w:space="0" w:color="auto"/>
              <w:bottom w:val="single" w:sz="4" w:space="0" w:color="auto"/>
              <w:right w:val="single" w:sz="4" w:space="0" w:color="auto"/>
            </w:tcBorders>
            <w:shd w:val="clear" w:color="auto" w:fill="auto"/>
            <w:hideMark/>
          </w:tcPr>
          <w:p w14:paraId="2A2FEA1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Marketing</w:t>
            </w:r>
          </w:p>
        </w:tc>
        <w:tc>
          <w:tcPr>
            <w:tcW w:w="2700" w:type="dxa"/>
            <w:gridSpan w:val="2"/>
            <w:tcBorders>
              <w:top w:val="nil"/>
              <w:left w:val="nil"/>
              <w:bottom w:val="single" w:sz="4" w:space="0" w:color="auto"/>
              <w:right w:val="single" w:sz="4" w:space="0" w:color="auto"/>
            </w:tcBorders>
            <w:shd w:val="clear" w:color="auto" w:fill="auto"/>
            <w:hideMark/>
          </w:tcPr>
          <w:p w14:paraId="2A2FEA1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Including the Society's member benefits scheme, certain non-core research, training for non-members and charitable activity</w:t>
            </w:r>
          </w:p>
        </w:tc>
        <w:tc>
          <w:tcPr>
            <w:tcW w:w="2340" w:type="dxa"/>
            <w:gridSpan w:val="2"/>
            <w:tcBorders>
              <w:top w:val="nil"/>
              <w:left w:val="nil"/>
              <w:bottom w:val="single" w:sz="4" w:space="0" w:color="auto"/>
              <w:right w:val="single" w:sz="4" w:space="0" w:color="auto"/>
            </w:tcBorders>
            <w:shd w:val="clear" w:color="auto" w:fill="auto"/>
            <w:hideMark/>
          </w:tcPr>
          <w:p w14:paraId="2A2FEA1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A1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A1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beyond Society's records.</w:t>
            </w:r>
          </w:p>
        </w:tc>
        <w:tc>
          <w:tcPr>
            <w:tcW w:w="2790" w:type="dxa"/>
            <w:gridSpan w:val="3"/>
            <w:tcBorders>
              <w:top w:val="nil"/>
              <w:left w:val="nil"/>
              <w:bottom w:val="single" w:sz="4" w:space="0" w:color="auto"/>
              <w:right w:val="single" w:sz="4" w:space="0" w:color="auto"/>
            </w:tcBorders>
            <w:shd w:val="clear" w:color="auto" w:fill="auto"/>
            <w:hideMark/>
          </w:tcPr>
          <w:p w14:paraId="2A2FEA1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or (if consent is relied upon as the lawful basis for processing) until consent is withdrawn</w:t>
            </w:r>
          </w:p>
        </w:tc>
      </w:tr>
      <w:tr w:rsidR="008C1FF8" w:rsidRPr="008C1FF8" w14:paraId="2A2FEA27" w14:textId="77777777" w:rsidTr="008C1FF8">
        <w:trPr>
          <w:gridAfter w:val="1"/>
          <w:wAfter w:w="1181" w:type="dxa"/>
          <w:trHeight w:val="1710"/>
        </w:trPr>
        <w:tc>
          <w:tcPr>
            <w:tcW w:w="1995" w:type="dxa"/>
            <w:tcBorders>
              <w:top w:val="nil"/>
              <w:left w:val="single" w:sz="4" w:space="0" w:color="auto"/>
              <w:bottom w:val="single" w:sz="4" w:space="0" w:color="auto"/>
              <w:right w:val="single" w:sz="4" w:space="0" w:color="auto"/>
            </w:tcBorders>
            <w:shd w:val="clear" w:color="auto" w:fill="auto"/>
            <w:hideMark/>
          </w:tcPr>
          <w:p w14:paraId="2A2FEA2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 </w:t>
            </w:r>
          </w:p>
        </w:tc>
        <w:tc>
          <w:tcPr>
            <w:tcW w:w="2700" w:type="dxa"/>
            <w:gridSpan w:val="2"/>
            <w:tcBorders>
              <w:top w:val="nil"/>
              <w:left w:val="nil"/>
              <w:bottom w:val="single" w:sz="4" w:space="0" w:color="auto"/>
              <w:right w:val="single" w:sz="4" w:space="0" w:color="auto"/>
            </w:tcBorders>
            <w:shd w:val="clear" w:color="auto" w:fill="auto"/>
            <w:hideMark/>
          </w:tcPr>
          <w:p w14:paraId="2A2FEA2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Member news such as the Journal, fraud alerts, information relating to practice legislation and Rules, as well as career development, CPD and training events.</w:t>
            </w:r>
          </w:p>
        </w:tc>
        <w:tc>
          <w:tcPr>
            <w:tcW w:w="2340" w:type="dxa"/>
            <w:gridSpan w:val="2"/>
            <w:tcBorders>
              <w:top w:val="nil"/>
              <w:left w:val="nil"/>
              <w:bottom w:val="single" w:sz="4" w:space="0" w:color="auto"/>
              <w:right w:val="single" w:sz="4" w:space="0" w:color="auto"/>
            </w:tcBorders>
            <w:shd w:val="clear" w:color="auto" w:fill="auto"/>
            <w:hideMark/>
          </w:tcPr>
          <w:p w14:paraId="2A2FEA2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A2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in ensuring compliance with its Rules and the competence of the profession</w:t>
            </w:r>
          </w:p>
        </w:tc>
        <w:tc>
          <w:tcPr>
            <w:tcW w:w="2700" w:type="dxa"/>
            <w:gridSpan w:val="3"/>
            <w:tcBorders>
              <w:top w:val="nil"/>
              <w:left w:val="nil"/>
              <w:bottom w:val="single" w:sz="4" w:space="0" w:color="auto"/>
              <w:right w:val="single" w:sz="4" w:space="0" w:color="auto"/>
            </w:tcBorders>
            <w:shd w:val="clear" w:color="auto" w:fill="auto"/>
            <w:hideMark/>
          </w:tcPr>
          <w:p w14:paraId="2A2FEA2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beyond Society's records.</w:t>
            </w:r>
          </w:p>
        </w:tc>
        <w:tc>
          <w:tcPr>
            <w:tcW w:w="2790" w:type="dxa"/>
            <w:gridSpan w:val="3"/>
            <w:tcBorders>
              <w:top w:val="nil"/>
              <w:left w:val="nil"/>
              <w:bottom w:val="single" w:sz="4" w:space="0" w:color="auto"/>
              <w:right w:val="single" w:sz="4" w:space="0" w:color="auto"/>
            </w:tcBorders>
            <w:shd w:val="clear" w:color="auto" w:fill="auto"/>
            <w:hideMark/>
          </w:tcPr>
          <w:p w14:paraId="2A2FEA2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or (if consent is relied upon as the lawful basis for processing) until consent is withdrawn</w:t>
            </w:r>
          </w:p>
        </w:tc>
      </w:tr>
      <w:tr w:rsidR="008C1FF8" w:rsidRPr="008C1FF8" w14:paraId="2A2FEA2E" w14:textId="77777777" w:rsidTr="008C1FF8">
        <w:trPr>
          <w:gridAfter w:val="1"/>
          <w:wAfter w:w="1181" w:type="dxa"/>
          <w:trHeight w:val="171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A2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A2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Video and photography for communication,</w:t>
            </w:r>
            <w:r w:rsidR="00040A73" w:rsidRPr="008C1FF8">
              <w:rPr>
                <w:rFonts w:eastAsia="Times New Roman"/>
                <w:sz w:val="22"/>
                <w:szCs w:val="22"/>
                <w:lang w:eastAsia="en-GB"/>
              </w:rPr>
              <w:t xml:space="preserve"> </w:t>
            </w:r>
            <w:proofErr w:type="gramStart"/>
            <w:r w:rsidRPr="00C565EF">
              <w:rPr>
                <w:rFonts w:eastAsia="Times New Roman"/>
                <w:sz w:val="22"/>
                <w:szCs w:val="22"/>
                <w:lang w:eastAsia="en-GB"/>
              </w:rPr>
              <w:t>training,  archive</w:t>
            </w:r>
            <w:proofErr w:type="gramEnd"/>
            <w:r w:rsidRPr="00C565EF">
              <w:rPr>
                <w:rFonts w:eastAsia="Times New Roman"/>
                <w:sz w:val="22"/>
                <w:szCs w:val="22"/>
                <w:lang w:eastAsia="en-GB"/>
              </w:rPr>
              <w:t xml:space="preserve"> and other purposes</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A2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Staff, Members, </w:t>
            </w:r>
            <w:proofErr w:type="gramStart"/>
            <w:r w:rsidRPr="00C565EF">
              <w:rPr>
                <w:rFonts w:eastAsia="Times New Roman"/>
                <w:sz w:val="22"/>
                <w:szCs w:val="22"/>
                <w:lang w:eastAsia="en-GB"/>
              </w:rPr>
              <w:t>committees</w:t>
            </w:r>
            <w:proofErr w:type="gramEnd"/>
            <w:r w:rsidRPr="00C565EF">
              <w:rPr>
                <w:rFonts w:eastAsia="Times New Roman"/>
                <w:sz w:val="22"/>
                <w:szCs w:val="22"/>
                <w:lang w:eastAsia="en-GB"/>
              </w:rPr>
              <w:t xml:space="preserve"> and the public depending on the nature and purpose</w:t>
            </w:r>
          </w:p>
        </w:tc>
        <w:tc>
          <w:tcPr>
            <w:tcW w:w="3690" w:type="dxa"/>
            <w:tcBorders>
              <w:top w:val="single" w:sz="4" w:space="0" w:color="auto"/>
              <w:left w:val="nil"/>
              <w:bottom w:val="single" w:sz="4" w:space="0" w:color="auto"/>
              <w:right w:val="single" w:sz="4" w:space="0" w:color="auto"/>
            </w:tcBorders>
            <w:shd w:val="clear" w:color="auto" w:fill="auto"/>
            <w:hideMark/>
          </w:tcPr>
          <w:p w14:paraId="2A2FEA2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A2C"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beyond Society's records.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A2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or (if consent is relied upon as the lawful basis for processing) until consent is withdrawn. Archive material providing a record of the Society's business may be kept indefinitely</w:t>
            </w:r>
          </w:p>
        </w:tc>
      </w:tr>
      <w:tr w:rsidR="008C1FF8" w:rsidRPr="008C1FF8" w14:paraId="2A2FEA35" w14:textId="77777777" w:rsidTr="008C1FF8">
        <w:trPr>
          <w:gridAfter w:val="1"/>
          <w:wAfter w:w="1181" w:type="dxa"/>
          <w:trHeight w:val="2280"/>
        </w:trPr>
        <w:tc>
          <w:tcPr>
            <w:tcW w:w="1995" w:type="dxa"/>
            <w:tcBorders>
              <w:top w:val="nil"/>
              <w:left w:val="single" w:sz="4" w:space="0" w:color="auto"/>
              <w:bottom w:val="single" w:sz="4" w:space="0" w:color="auto"/>
              <w:right w:val="single" w:sz="4" w:space="0" w:color="auto"/>
            </w:tcBorders>
            <w:shd w:val="clear" w:color="auto" w:fill="auto"/>
            <w:hideMark/>
          </w:tcPr>
          <w:p w14:paraId="2A2FEA2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Membership </w:t>
            </w:r>
          </w:p>
        </w:tc>
        <w:tc>
          <w:tcPr>
            <w:tcW w:w="2700" w:type="dxa"/>
            <w:gridSpan w:val="2"/>
            <w:tcBorders>
              <w:top w:val="nil"/>
              <w:left w:val="nil"/>
              <w:bottom w:val="single" w:sz="4" w:space="0" w:color="auto"/>
              <w:right w:val="single" w:sz="4" w:space="0" w:color="auto"/>
            </w:tcBorders>
            <w:shd w:val="clear" w:color="auto" w:fill="auto"/>
            <w:hideMark/>
          </w:tcPr>
          <w:p w14:paraId="2A2FEA3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All those matters subject to the Society's regulation either in terms of statute, regulation, Rules or otherwise and information around tasks such as status, renewal, elections, Smartcards, general meetings etc</w:t>
            </w:r>
          </w:p>
        </w:tc>
        <w:tc>
          <w:tcPr>
            <w:tcW w:w="2340" w:type="dxa"/>
            <w:gridSpan w:val="2"/>
            <w:tcBorders>
              <w:top w:val="nil"/>
              <w:left w:val="nil"/>
              <w:bottom w:val="single" w:sz="4" w:space="0" w:color="auto"/>
              <w:right w:val="single" w:sz="4" w:space="0" w:color="auto"/>
            </w:tcBorders>
            <w:shd w:val="clear" w:color="auto" w:fill="auto"/>
            <w:hideMark/>
          </w:tcPr>
          <w:p w14:paraId="2A2FEA3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A3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 Additionally, the Society may rely on the legal obligation flowing from the relevant statutory provisions.</w:t>
            </w:r>
          </w:p>
        </w:tc>
        <w:tc>
          <w:tcPr>
            <w:tcW w:w="2700" w:type="dxa"/>
            <w:gridSpan w:val="3"/>
            <w:tcBorders>
              <w:top w:val="nil"/>
              <w:left w:val="nil"/>
              <w:bottom w:val="single" w:sz="4" w:space="0" w:color="auto"/>
              <w:right w:val="single" w:sz="4" w:space="0" w:color="auto"/>
            </w:tcBorders>
            <w:shd w:val="clear" w:color="auto" w:fill="auto"/>
            <w:hideMark/>
          </w:tcPr>
          <w:p w14:paraId="2A2FEA33"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other regulators</w:t>
            </w:r>
          </w:p>
        </w:tc>
        <w:tc>
          <w:tcPr>
            <w:tcW w:w="2790" w:type="dxa"/>
            <w:gridSpan w:val="3"/>
            <w:tcBorders>
              <w:top w:val="nil"/>
              <w:left w:val="nil"/>
              <w:bottom w:val="single" w:sz="4" w:space="0" w:color="auto"/>
              <w:right w:val="single" w:sz="4" w:space="0" w:color="auto"/>
            </w:tcBorders>
            <w:shd w:val="clear" w:color="auto" w:fill="auto"/>
            <w:hideMark/>
          </w:tcPr>
          <w:p w14:paraId="2A2FEA3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Where it relates to a member's status/record, information will be kept indefinitely.</w:t>
            </w:r>
          </w:p>
        </w:tc>
      </w:tr>
      <w:tr w:rsidR="008C1FF8" w:rsidRPr="008C1FF8" w14:paraId="2A2FEA3C" w14:textId="77777777" w:rsidTr="008C1FF8">
        <w:trPr>
          <w:gridAfter w:val="1"/>
          <w:wAfter w:w="1181" w:type="dxa"/>
          <w:trHeight w:val="1710"/>
        </w:trPr>
        <w:tc>
          <w:tcPr>
            <w:tcW w:w="1995" w:type="dxa"/>
            <w:tcBorders>
              <w:top w:val="nil"/>
              <w:left w:val="single" w:sz="4" w:space="0" w:color="auto"/>
              <w:bottom w:val="single" w:sz="4" w:space="0" w:color="auto"/>
              <w:right w:val="single" w:sz="4" w:space="0" w:color="auto"/>
            </w:tcBorders>
            <w:shd w:val="clear" w:color="auto" w:fill="auto"/>
            <w:hideMark/>
          </w:tcPr>
          <w:p w14:paraId="2A2FEA3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Professional support</w:t>
            </w:r>
          </w:p>
        </w:tc>
        <w:tc>
          <w:tcPr>
            <w:tcW w:w="2700" w:type="dxa"/>
            <w:gridSpan w:val="2"/>
            <w:tcBorders>
              <w:top w:val="nil"/>
              <w:left w:val="nil"/>
              <w:bottom w:val="single" w:sz="4" w:space="0" w:color="auto"/>
              <w:right w:val="single" w:sz="4" w:space="0" w:color="auto"/>
            </w:tcBorders>
            <w:shd w:val="clear" w:color="auto" w:fill="auto"/>
            <w:hideMark/>
          </w:tcPr>
          <w:p w14:paraId="2A2FEA3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w:t>
            </w:r>
          </w:p>
        </w:tc>
        <w:tc>
          <w:tcPr>
            <w:tcW w:w="2340" w:type="dxa"/>
            <w:gridSpan w:val="2"/>
            <w:tcBorders>
              <w:top w:val="nil"/>
              <w:left w:val="nil"/>
              <w:bottom w:val="single" w:sz="4" w:space="0" w:color="auto"/>
              <w:right w:val="single" w:sz="4" w:space="0" w:color="auto"/>
            </w:tcBorders>
            <w:shd w:val="clear" w:color="auto" w:fill="auto"/>
            <w:hideMark/>
          </w:tcPr>
          <w:p w14:paraId="2A2FEA3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A3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A3A"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not generally be gathered from other sources beyond Society's records.</w:t>
            </w:r>
          </w:p>
        </w:tc>
        <w:tc>
          <w:tcPr>
            <w:tcW w:w="2790" w:type="dxa"/>
            <w:gridSpan w:val="3"/>
            <w:tcBorders>
              <w:top w:val="nil"/>
              <w:left w:val="nil"/>
              <w:bottom w:val="single" w:sz="4" w:space="0" w:color="auto"/>
              <w:right w:val="single" w:sz="4" w:space="0" w:color="auto"/>
            </w:tcBorders>
            <w:shd w:val="clear" w:color="auto" w:fill="auto"/>
            <w:hideMark/>
          </w:tcPr>
          <w:p w14:paraId="2A2FEA3B"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not be kept except where it relates to a member's status/record where it may be kept indefinitely.</w:t>
            </w:r>
          </w:p>
        </w:tc>
      </w:tr>
      <w:tr w:rsidR="008C1FF8" w:rsidRPr="008C1FF8" w14:paraId="2A2FEA43" w14:textId="77777777" w:rsidTr="008C1FF8">
        <w:trPr>
          <w:gridAfter w:val="1"/>
          <w:wAfter w:w="1181" w:type="dxa"/>
          <w:trHeight w:val="1710"/>
        </w:trPr>
        <w:tc>
          <w:tcPr>
            <w:tcW w:w="1995" w:type="dxa"/>
            <w:tcBorders>
              <w:top w:val="nil"/>
              <w:left w:val="single" w:sz="4" w:space="0" w:color="auto"/>
              <w:bottom w:val="single" w:sz="4" w:space="0" w:color="auto"/>
              <w:right w:val="single" w:sz="4" w:space="0" w:color="auto"/>
            </w:tcBorders>
            <w:shd w:val="clear" w:color="auto" w:fill="auto"/>
            <w:hideMark/>
          </w:tcPr>
          <w:p w14:paraId="2A2FEA3D"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lastRenderedPageBreak/>
              <w:t>Research</w:t>
            </w:r>
          </w:p>
        </w:tc>
        <w:tc>
          <w:tcPr>
            <w:tcW w:w="2700" w:type="dxa"/>
            <w:gridSpan w:val="2"/>
            <w:tcBorders>
              <w:top w:val="nil"/>
              <w:left w:val="nil"/>
              <w:bottom w:val="single" w:sz="4" w:space="0" w:color="auto"/>
              <w:right w:val="single" w:sz="4" w:space="0" w:color="auto"/>
            </w:tcBorders>
            <w:shd w:val="clear" w:color="auto" w:fill="auto"/>
            <w:hideMark/>
          </w:tcPr>
          <w:p w14:paraId="2A2FEA3E"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Deemed to be core to the society's Statutory and/or legitimate obligations</w:t>
            </w:r>
          </w:p>
        </w:tc>
        <w:tc>
          <w:tcPr>
            <w:tcW w:w="2340" w:type="dxa"/>
            <w:gridSpan w:val="2"/>
            <w:tcBorders>
              <w:top w:val="nil"/>
              <w:left w:val="nil"/>
              <w:bottom w:val="single" w:sz="4" w:space="0" w:color="auto"/>
              <w:right w:val="single" w:sz="4" w:space="0" w:color="auto"/>
            </w:tcBorders>
            <w:shd w:val="clear" w:color="auto" w:fill="auto"/>
            <w:hideMark/>
          </w:tcPr>
          <w:p w14:paraId="2A2FEA3F"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and committees</w:t>
            </w:r>
          </w:p>
        </w:tc>
        <w:tc>
          <w:tcPr>
            <w:tcW w:w="3690" w:type="dxa"/>
            <w:tcBorders>
              <w:top w:val="nil"/>
              <w:left w:val="nil"/>
              <w:bottom w:val="single" w:sz="4" w:space="0" w:color="auto"/>
              <w:right w:val="single" w:sz="4" w:space="0" w:color="auto"/>
            </w:tcBorders>
            <w:shd w:val="clear" w:color="auto" w:fill="auto"/>
            <w:hideMark/>
          </w:tcPr>
          <w:p w14:paraId="2A2FEA40"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nil"/>
              <w:left w:val="nil"/>
              <w:bottom w:val="single" w:sz="4" w:space="0" w:color="auto"/>
              <w:right w:val="single" w:sz="4" w:space="0" w:color="auto"/>
            </w:tcBorders>
            <w:shd w:val="clear" w:color="auto" w:fill="auto"/>
            <w:hideMark/>
          </w:tcPr>
          <w:p w14:paraId="2A2FEA41"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gathered by third parties acting on behalf of the Society.</w:t>
            </w:r>
          </w:p>
        </w:tc>
        <w:tc>
          <w:tcPr>
            <w:tcW w:w="2790" w:type="dxa"/>
            <w:gridSpan w:val="3"/>
            <w:tcBorders>
              <w:top w:val="nil"/>
              <w:left w:val="nil"/>
              <w:bottom w:val="single" w:sz="4" w:space="0" w:color="auto"/>
              <w:right w:val="single" w:sz="4" w:space="0" w:color="auto"/>
            </w:tcBorders>
            <w:shd w:val="clear" w:color="auto" w:fill="auto"/>
            <w:hideMark/>
          </w:tcPr>
          <w:p w14:paraId="2A2FEA42"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Information will generally be </w:t>
            </w:r>
            <w:proofErr w:type="gramStart"/>
            <w:r w:rsidRPr="00C565EF">
              <w:rPr>
                <w:rFonts w:eastAsia="Times New Roman"/>
                <w:sz w:val="22"/>
                <w:szCs w:val="22"/>
                <w:lang w:eastAsia="en-GB"/>
              </w:rPr>
              <w:t>anonymised</w:t>
            </w:r>
            <w:proofErr w:type="gramEnd"/>
            <w:r w:rsidRPr="00C565EF">
              <w:rPr>
                <w:rFonts w:eastAsia="Times New Roman"/>
                <w:sz w:val="22"/>
                <w:szCs w:val="22"/>
                <w:lang w:eastAsia="en-GB"/>
              </w:rPr>
              <w:t xml:space="preserve"> but identifiable information may be kept for 5 years or (if consent is relied upon as the lawful basis for processing) until consent is withdrawn</w:t>
            </w:r>
          </w:p>
        </w:tc>
      </w:tr>
      <w:tr w:rsidR="008C1FF8" w:rsidRPr="008C1FF8" w14:paraId="2A2FEA4A" w14:textId="77777777" w:rsidTr="008C1FF8">
        <w:trPr>
          <w:gridAfter w:val="1"/>
          <w:wAfter w:w="1181" w:type="dxa"/>
          <w:trHeight w:val="1710"/>
        </w:trPr>
        <w:tc>
          <w:tcPr>
            <w:tcW w:w="1995" w:type="dxa"/>
            <w:tcBorders>
              <w:top w:val="single" w:sz="4" w:space="0" w:color="auto"/>
              <w:left w:val="single" w:sz="4" w:space="0" w:color="auto"/>
              <w:bottom w:val="single" w:sz="4" w:space="0" w:color="auto"/>
              <w:right w:val="single" w:sz="4" w:space="0" w:color="auto"/>
            </w:tcBorders>
            <w:shd w:val="clear" w:color="auto" w:fill="auto"/>
            <w:hideMark/>
          </w:tcPr>
          <w:p w14:paraId="2A2FEA44"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 xml:space="preserve">System access and system security, </w:t>
            </w:r>
            <w:proofErr w:type="gramStart"/>
            <w:r w:rsidRPr="00C565EF">
              <w:rPr>
                <w:rFonts w:eastAsia="Times New Roman"/>
                <w:sz w:val="22"/>
                <w:szCs w:val="22"/>
                <w:lang w:eastAsia="en-GB"/>
              </w:rPr>
              <w:t>support</w:t>
            </w:r>
            <w:proofErr w:type="gramEnd"/>
            <w:r w:rsidRPr="00C565EF">
              <w:rPr>
                <w:rFonts w:eastAsia="Times New Roman"/>
                <w:sz w:val="22"/>
                <w:szCs w:val="22"/>
                <w:lang w:eastAsia="en-GB"/>
              </w:rPr>
              <w:t xml:space="preserve"> and Maintenance</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A2FEA45"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Including monitoring, compliance reporting, remote working/</w:t>
            </w:r>
            <w:proofErr w:type="gramStart"/>
            <w:r w:rsidRPr="00C565EF">
              <w:rPr>
                <w:rFonts w:eastAsia="Times New Roman"/>
                <w:sz w:val="22"/>
                <w:szCs w:val="22"/>
                <w:lang w:eastAsia="en-GB"/>
              </w:rPr>
              <w:t>access</w:t>
            </w:r>
            <w:proofErr w:type="gramEnd"/>
            <w:r w:rsidRPr="00C565EF">
              <w:rPr>
                <w:rFonts w:eastAsia="Times New Roman"/>
                <w:sz w:val="22"/>
                <w:szCs w:val="22"/>
                <w:lang w:eastAsia="en-GB"/>
              </w:rPr>
              <w:t xml:space="preserve"> and member self-service etc.</w:t>
            </w:r>
          </w:p>
        </w:tc>
        <w:tc>
          <w:tcPr>
            <w:tcW w:w="2340" w:type="dxa"/>
            <w:gridSpan w:val="2"/>
            <w:tcBorders>
              <w:top w:val="single" w:sz="4" w:space="0" w:color="auto"/>
              <w:left w:val="nil"/>
              <w:bottom w:val="single" w:sz="4" w:space="0" w:color="auto"/>
              <w:right w:val="single" w:sz="4" w:space="0" w:color="auto"/>
            </w:tcBorders>
            <w:shd w:val="clear" w:color="auto" w:fill="auto"/>
            <w:hideMark/>
          </w:tcPr>
          <w:p w14:paraId="2A2FEA46"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Staff, primarily the IT team</w:t>
            </w:r>
          </w:p>
        </w:tc>
        <w:tc>
          <w:tcPr>
            <w:tcW w:w="3690" w:type="dxa"/>
            <w:tcBorders>
              <w:top w:val="single" w:sz="4" w:space="0" w:color="auto"/>
              <w:left w:val="nil"/>
              <w:bottom w:val="single" w:sz="4" w:space="0" w:color="auto"/>
              <w:right w:val="single" w:sz="4" w:space="0" w:color="auto"/>
            </w:tcBorders>
            <w:shd w:val="clear" w:color="auto" w:fill="auto"/>
            <w:hideMark/>
          </w:tcPr>
          <w:p w14:paraId="2A2FEA47"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Primarily the Society will rely on its legitimate interest and obligation to fulfil a task or perform a function in the public interest or protect members of the public. Where appropriate the Society may also rely on specific consent and/or contractual obligations.</w:t>
            </w:r>
          </w:p>
        </w:tc>
        <w:tc>
          <w:tcPr>
            <w:tcW w:w="2700" w:type="dxa"/>
            <w:gridSpan w:val="3"/>
            <w:tcBorders>
              <w:top w:val="single" w:sz="4" w:space="0" w:color="auto"/>
              <w:left w:val="nil"/>
              <w:bottom w:val="single" w:sz="4" w:space="0" w:color="auto"/>
              <w:right w:val="single" w:sz="4" w:space="0" w:color="auto"/>
            </w:tcBorders>
            <w:shd w:val="clear" w:color="auto" w:fill="auto"/>
            <w:hideMark/>
          </w:tcPr>
          <w:p w14:paraId="2A2FEA48"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may be sourced/checked by reference to the Society's records or third parties such as other regulators</w:t>
            </w:r>
          </w:p>
        </w:tc>
        <w:tc>
          <w:tcPr>
            <w:tcW w:w="2790" w:type="dxa"/>
            <w:gridSpan w:val="3"/>
            <w:tcBorders>
              <w:top w:val="single" w:sz="4" w:space="0" w:color="auto"/>
              <w:left w:val="nil"/>
              <w:bottom w:val="single" w:sz="4" w:space="0" w:color="auto"/>
              <w:right w:val="single" w:sz="4" w:space="0" w:color="auto"/>
            </w:tcBorders>
            <w:shd w:val="clear" w:color="auto" w:fill="auto"/>
            <w:hideMark/>
          </w:tcPr>
          <w:p w14:paraId="2A2FEA49" w14:textId="77777777" w:rsidR="00C565EF" w:rsidRPr="00C565EF" w:rsidRDefault="00C565EF" w:rsidP="00C565EF">
            <w:pPr>
              <w:rPr>
                <w:rFonts w:eastAsia="Times New Roman"/>
                <w:sz w:val="22"/>
                <w:szCs w:val="22"/>
                <w:lang w:eastAsia="en-GB"/>
              </w:rPr>
            </w:pPr>
            <w:r w:rsidRPr="00C565EF">
              <w:rPr>
                <w:rFonts w:eastAsia="Times New Roman"/>
                <w:sz w:val="22"/>
                <w:szCs w:val="22"/>
                <w:lang w:eastAsia="en-GB"/>
              </w:rPr>
              <w:t>Information will generally be kept for 5 years and information provided where it relates to a member's status/record will be kept indefinitely.</w:t>
            </w:r>
          </w:p>
        </w:tc>
      </w:tr>
      <w:tr w:rsidR="008C1FF8" w:rsidRPr="008C1FF8" w14:paraId="2A2FEA51" w14:textId="77777777" w:rsidTr="008C1FF8">
        <w:trPr>
          <w:gridAfter w:val="1"/>
          <w:wAfter w:w="1181" w:type="dxa"/>
          <w:trHeight w:val="285"/>
        </w:trPr>
        <w:tc>
          <w:tcPr>
            <w:tcW w:w="1995" w:type="dxa"/>
            <w:tcBorders>
              <w:top w:val="nil"/>
              <w:left w:val="nil"/>
              <w:bottom w:val="nil"/>
              <w:right w:val="nil"/>
            </w:tcBorders>
            <w:shd w:val="clear" w:color="auto" w:fill="auto"/>
            <w:hideMark/>
          </w:tcPr>
          <w:p w14:paraId="2A2FEA4B" w14:textId="77777777" w:rsidR="00C565EF" w:rsidRPr="00C565EF" w:rsidRDefault="00C565EF" w:rsidP="00C565EF">
            <w:pPr>
              <w:rPr>
                <w:rFonts w:eastAsia="Times New Roman"/>
                <w:sz w:val="22"/>
                <w:szCs w:val="22"/>
                <w:lang w:eastAsia="en-GB"/>
              </w:rPr>
            </w:pPr>
          </w:p>
        </w:tc>
        <w:tc>
          <w:tcPr>
            <w:tcW w:w="2700" w:type="dxa"/>
            <w:gridSpan w:val="2"/>
            <w:tcBorders>
              <w:top w:val="nil"/>
              <w:left w:val="nil"/>
              <w:bottom w:val="nil"/>
              <w:right w:val="nil"/>
            </w:tcBorders>
            <w:shd w:val="clear" w:color="auto" w:fill="auto"/>
            <w:hideMark/>
          </w:tcPr>
          <w:p w14:paraId="2A2FEA4C" w14:textId="77777777" w:rsidR="00C565EF" w:rsidRPr="00C565EF" w:rsidRDefault="00C565EF" w:rsidP="00C565EF">
            <w:pPr>
              <w:rPr>
                <w:rFonts w:eastAsia="Times New Roman"/>
                <w:sz w:val="22"/>
                <w:szCs w:val="22"/>
                <w:lang w:eastAsia="en-GB"/>
              </w:rPr>
            </w:pPr>
          </w:p>
        </w:tc>
        <w:tc>
          <w:tcPr>
            <w:tcW w:w="2340" w:type="dxa"/>
            <w:gridSpan w:val="2"/>
            <w:tcBorders>
              <w:top w:val="nil"/>
              <w:left w:val="nil"/>
              <w:bottom w:val="nil"/>
              <w:right w:val="nil"/>
            </w:tcBorders>
            <w:shd w:val="clear" w:color="auto" w:fill="auto"/>
            <w:hideMark/>
          </w:tcPr>
          <w:p w14:paraId="2A2FEA4D" w14:textId="77777777" w:rsidR="00C565EF" w:rsidRPr="00C565EF" w:rsidRDefault="00C565EF" w:rsidP="00C565EF">
            <w:pPr>
              <w:rPr>
                <w:rFonts w:eastAsia="Times New Roman"/>
                <w:sz w:val="22"/>
                <w:szCs w:val="22"/>
                <w:lang w:eastAsia="en-GB"/>
              </w:rPr>
            </w:pPr>
          </w:p>
        </w:tc>
        <w:tc>
          <w:tcPr>
            <w:tcW w:w="3690" w:type="dxa"/>
            <w:tcBorders>
              <w:top w:val="nil"/>
              <w:left w:val="nil"/>
              <w:bottom w:val="nil"/>
              <w:right w:val="nil"/>
            </w:tcBorders>
            <w:shd w:val="clear" w:color="auto" w:fill="auto"/>
            <w:hideMark/>
          </w:tcPr>
          <w:p w14:paraId="2A2FEA4E" w14:textId="77777777" w:rsidR="00C565EF" w:rsidRPr="00C565EF" w:rsidRDefault="00C565EF" w:rsidP="00C565EF">
            <w:pPr>
              <w:rPr>
                <w:rFonts w:eastAsia="Times New Roman"/>
                <w:sz w:val="22"/>
                <w:szCs w:val="22"/>
                <w:lang w:eastAsia="en-GB"/>
              </w:rPr>
            </w:pPr>
          </w:p>
        </w:tc>
        <w:tc>
          <w:tcPr>
            <w:tcW w:w="2700" w:type="dxa"/>
            <w:gridSpan w:val="3"/>
            <w:tcBorders>
              <w:top w:val="nil"/>
              <w:left w:val="nil"/>
              <w:bottom w:val="nil"/>
              <w:right w:val="nil"/>
            </w:tcBorders>
            <w:shd w:val="clear" w:color="auto" w:fill="auto"/>
            <w:hideMark/>
          </w:tcPr>
          <w:p w14:paraId="2A2FEA4F" w14:textId="77777777" w:rsidR="00C565EF" w:rsidRPr="00C565EF" w:rsidRDefault="00C565EF" w:rsidP="00C565EF">
            <w:pPr>
              <w:rPr>
                <w:rFonts w:eastAsia="Times New Roman"/>
                <w:sz w:val="22"/>
                <w:szCs w:val="22"/>
                <w:lang w:eastAsia="en-GB"/>
              </w:rPr>
            </w:pPr>
          </w:p>
        </w:tc>
        <w:tc>
          <w:tcPr>
            <w:tcW w:w="2790" w:type="dxa"/>
            <w:gridSpan w:val="3"/>
            <w:tcBorders>
              <w:top w:val="nil"/>
              <w:left w:val="nil"/>
              <w:bottom w:val="nil"/>
              <w:right w:val="nil"/>
            </w:tcBorders>
            <w:shd w:val="clear" w:color="auto" w:fill="auto"/>
            <w:hideMark/>
          </w:tcPr>
          <w:p w14:paraId="2A2FEA50" w14:textId="77777777" w:rsidR="00C565EF" w:rsidRPr="00C565EF" w:rsidRDefault="00C565EF" w:rsidP="00C565EF">
            <w:pPr>
              <w:rPr>
                <w:rFonts w:eastAsia="Times New Roman"/>
                <w:sz w:val="22"/>
                <w:szCs w:val="22"/>
                <w:lang w:eastAsia="en-GB"/>
              </w:rPr>
            </w:pPr>
          </w:p>
        </w:tc>
      </w:tr>
      <w:tr w:rsidR="00FF2A63" w:rsidRPr="008C1FF8" w14:paraId="2A2FEA57" w14:textId="77777777" w:rsidTr="002D3C52">
        <w:trPr>
          <w:gridAfter w:val="1"/>
          <w:wAfter w:w="1181" w:type="dxa"/>
          <w:trHeight w:val="360"/>
        </w:trPr>
        <w:tc>
          <w:tcPr>
            <w:tcW w:w="4695" w:type="dxa"/>
            <w:gridSpan w:val="3"/>
            <w:tcBorders>
              <w:top w:val="nil"/>
              <w:left w:val="nil"/>
              <w:bottom w:val="nil"/>
              <w:right w:val="nil"/>
            </w:tcBorders>
            <w:shd w:val="clear" w:color="auto" w:fill="auto"/>
            <w:hideMark/>
          </w:tcPr>
          <w:p w14:paraId="2A2FEA52" w14:textId="77777777" w:rsidR="00FF2A63" w:rsidRPr="00C565EF" w:rsidRDefault="00FF2A63" w:rsidP="00C565EF">
            <w:pPr>
              <w:rPr>
                <w:rFonts w:eastAsia="Times New Roman"/>
                <w:b/>
                <w:bCs/>
                <w:sz w:val="22"/>
                <w:szCs w:val="22"/>
                <w:lang w:eastAsia="en-GB"/>
              </w:rPr>
            </w:pPr>
            <w:r w:rsidRPr="00C565EF">
              <w:rPr>
                <w:rFonts w:eastAsia="Times New Roman"/>
                <w:b/>
                <w:bCs/>
                <w:sz w:val="22"/>
                <w:szCs w:val="22"/>
                <w:lang w:eastAsia="en-GB"/>
              </w:rPr>
              <w:t>Notes and glossary</w:t>
            </w:r>
          </w:p>
        </w:tc>
        <w:tc>
          <w:tcPr>
            <w:tcW w:w="2340" w:type="dxa"/>
            <w:gridSpan w:val="2"/>
            <w:tcBorders>
              <w:top w:val="nil"/>
              <w:left w:val="nil"/>
              <w:bottom w:val="nil"/>
              <w:right w:val="nil"/>
            </w:tcBorders>
            <w:shd w:val="clear" w:color="auto" w:fill="auto"/>
            <w:hideMark/>
          </w:tcPr>
          <w:p w14:paraId="2A2FEA53" w14:textId="77777777" w:rsidR="00FF2A63" w:rsidRPr="00C565EF" w:rsidRDefault="00FF2A63" w:rsidP="00C565EF">
            <w:pPr>
              <w:rPr>
                <w:rFonts w:eastAsia="Times New Roman"/>
                <w:sz w:val="22"/>
                <w:szCs w:val="22"/>
                <w:lang w:eastAsia="en-GB"/>
              </w:rPr>
            </w:pPr>
          </w:p>
        </w:tc>
        <w:tc>
          <w:tcPr>
            <w:tcW w:w="3690" w:type="dxa"/>
            <w:tcBorders>
              <w:top w:val="nil"/>
              <w:left w:val="nil"/>
              <w:bottom w:val="nil"/>
              <w:right w:val="nil"/>
            </w:tcBorders>
            <w:shd w:val="clear" w:color="auto" w:fill="auto"/>
            <w:hideMark/>
          </w:tcPr>
          <w:p w14:paraId="2A2FEA54" w14:textId="77777777" w:rsidR="00FF2A63" w:rsidRPr="00C565EF" w:rsidRDefault="00FF2A63" w:rsidP="00C565EF">
            <w:pPr>
              <w:rPr>
                <w:rFonts w:eastAsia="Times New Roman"/>
                <w:sz w:val="22"/>
                <w:szCs w:val="22"/>
                <w:lang w:eastAsia="en-GB"/>
              </w:rPr>
            </w:pPr>
          </w:p>
        </w:tc>
        <w:tc>
          <w:tcPr>
            <w:tcW w:w="2700" w:type="dxa"/>
            <w:gridSpan w:val="3"/>
            <w:tcBorders>
              <w:top w:val="nil"/>
              <w:left w:val="nil"/>
              <w:bottom w:val="nil"/>
              <w:right w:val="nil"/>
            </w:tcBorders>
            <w:shd w:val="clear" w:color="auto" w:fill="auto"/>
            <w:hideMark/>
          </w:tcPr>
          <w:p w14:paraId="2A2FEA55" w14:textId="77777777" w:rsidR="00FF2A63" w:rsidRPr="00C565EF" w:rsidRDefault="00FF2A63" w:rsidP="00C565EF">
            <w:pPr>
              <w:rPr>
                <w:rFonts w:eastAsia="Times New Roman"/>
                <w:sz w:val="22"/>
                <w:szCs w:val="22"/>
                <w:lang w:eastAsia="en-GB"/>
              </w:rPr>
            </w:pPr>
          </w:p>
        </w:tc>
        <w:tc>
          <w:tcPr>
            <w:tcW w:w="2790" w:type="dxa"/>
            <w:gridSpan w:val="3"/>
            <w:tcBorders>
              <w:top w:val="nil"/>
              <w:left w:val="nil"/>
              <w:bottom w:val="nil"/>
              <w:right w:val="nil"/>
            </w:tcBorders>
            <w:shd w:val="clear" w:color="auto" w:fill="auto"/>
            <w:hideMark/>
          </w:tcPr>
          <w:p w14:paraId="2A2FEA56" w14:textId="77777777" w:rsidR="00FF2A63" w:rsidRPr="00C565EF" w:rsidRDefault="00FF2A63" w:rsidP="00C565EF">
            <w:pPr>
              <w:rPr>
                <w:rFonts w:eastAsia="Times New Roman"/>
                <w:sz w:val="22"/>
                <w:szCs w:val="22"/>
                <w:lang w:eastAsia="en-GB"/>
              </w:rPr>
            </w:pPr>
          </w:p>
        </w:tc>
      </w:tr>
      <w:tr w:rsidR="00FF2A63" w:rsidRPr="008C1FF8" w14:paraId="2A2FEA5A" w14:textId="77777777" w:rsidTr="001C266A">
        <w:trPr>
          <w:gridAfter w:val="1"/>
          <w:wAfter w:w="1181" w:type="dxa"/>
          <w:trHeight w:val="300"/>
        </w:trPr>
        <w:tc>
          <w:tcPr>
            <w:tcW w:w="13425" w:type="dxa"/>
            <w:gridSpan w:val="9"/>
            <w:tcBorders>
              <w:top w:val="nil"/>
              <w:left w:val="nil"/>
              <w:bottom w:val="nil"/>
              <w:right w:val="nil"/>
            </w:tcBorders>
            <w:shd w:val="clear" w:color="auto" w:fill="auto"/>
            <w:noWrap/>
            <w:hideMark/>
          </w:tcPr>
          <w:p w14:paraId="2A2FEA58" w14:textId="77777777" w:rsidR="00FF2A63" w:rsidRPr="00C565EF" w:rsidRDefault="00FF2A63" w:rsidP="00C565EF">
            <w:pPr>
              <w:rPr>
                <w:rFonts w:eastAsia="Times New Roman"/>
                <w:sz w:val="22"/>
                <w:szCs w:val="22"/>
                <w:lang w:eastAsia="en-GB"/>
              </w:rPr>
            </w:pPr>
            <w:r w:rsidRPr="00C565EF">
              <w:rPr>
                <w:rFonts w:eastAsia="Times New Roman"/>
                <w:b/>
                <w:bCs/>
                <w:sz w:val="22"/>
                <w:szCs w:val="22"/>
                <w:lang w:eastAsia="en-GB"/>
              </w:rPr>
              <w:t>Advisors</w:t>
            </w:r>
            <w:r w:rsidRPr="00C565EF">
              <w:rPr>
                <w:rFonts w:eastAsia="Times New Roman"/>
                <w:sz w:val="22"/>
                <w:szCs w:val="22"/>
                <w:lang w:eastAsia="en-GB"/>
              </w:rPr>
              <w:t xml:space="preserve"> includes system providers, contractors, </w:t>
            </w:r>
            <w:proofErr w:type="gramStart"/>
            <w:r w:rsidRPr="00C565EF">
              <w:rPr>
                <w:rFonts w:eastAsia="Times New Roman"/>
                <w:sz w:val="22"/>
                <w:szCs w:val="22"/>
                <w:lang w:eastAsia="en-GB"/>
              </w:rPr>
              <w:t>agents</w:t>
            </w:r>
            <w:proofErr w:type="gramEnd"/>
            <w:r w:rsidRPr="00C565EF">
              <w:rPr>
                <w:rFonts w:eastAsia="Times New Roman"/>
                <w:sz w:val="22"/>
                <w:szCs w:val="22"/>
                <w:lang w:eastAsia="en-GB"/>
              </w:rPr>
              <w:t xml:space="preserve"> and others engaged to support the work of the Society.</w:t>
            </w:r>
          </w:p>
        </w:tc>
        <w:tc>
          <w:tcPr>
            <w:tcW w:w="2790" w:type="dxa"/>
            <w:gridSpan w:val="3"/>
            <w:tcBorders>
              <w:top w:val="nil"/>
              <w:left w:val="nil"/>
              <w:bottom w:val="nil"/>
              <w:right w:val="nil"/>
            </w:tcBorders>
            <w:shd w:val="clear" w:color="auto" w:fill="auto"/>
            <w:hideMark/>
          </w:tcPr>
          <w:p w14:paraId="2A2FEA59" w14:textId="77777777" w:rsidR="00FF2A63" w:rsidRPr="00C565EF" w:rsidRDefault="00FF2A63" w:rsidP="00C565EF">
            <w:pPr>
              <w:rPr>
                <w:rFonts w:eastAsia="Times New Roman"/>
                <w:sz w:val="22"/>
                <w:szCs w:val="22"/>
                <w:lang w:eastAsia="en-GB"/>
              </w:rPr>
            </w:pPr>
          </w:p>
        </w:tc>
      </w:tr>
      <w:tr w:rsidR="00C565EF" w:rsidRPr="00C565EF" w14:paraId="2A2FEA5F" w14:textId="77777777" w:rsidTr="00C565EF">
        <w:trPr>
          <w:gridAfter w:val="1"/>
          <w:wAfter w:w="1181" w:type="dxa"/>
          <w:trHeight w:val="300"/>
        </w:trPr>
        <w:tc>
          <w:tcPr>
            <w:tcW w:w="10930" w:type="dxa"/>
            <w:gridSpan w:val="7"/>
            <w:tcBorders>
              <w:top w:val="nil"/>
              <w:left w:val="nil"/>
              <w:bottom w:val="nil"/>
              <w:right w:val="nil"/>
            </w:tcBorders>
            <w:shd w:val="clear" w:color="auto" w:fill="auto"/>
            <w:noWrap/>
            <w:hideMark/>
          </w:tcPr>
          <w:p w14:paraId="2A2FEA5B" w14:textId="77777777" w:rsidR="00C565EF" w:rsidRPr="00C565EF" w:rsidRDefault="00C565EF" w:rsidP="00C565EF">
            <w:pPr>
              <w:rPr>
                <w:rFonts w:eastAsia="Times New Roman"/>
                <w:b/>
                <w:bCs/>
                <w:sz w:val="22"/>
                <w:szCs w:val="22"/>
                <w:lang w:eastAsia="en-GB"/>
              </w:rPr>
            </w:pPr>
            <w:r w:rsidRPr="00C565EF">
              <w:rPr>
                <w:rFonts w:eastAsia="Times New Roman"/>
                <w:b/>
                <w:bCs/>
                <w:sz w:val="22"/>
                <w:szCs w:val="22"/>
                <w:lang w:eastAsia="en-GB"/>
              </w:rPr>
              <w:t xml:space="preserve">Automated decision-making </w:t>
            </w:r>
            <w:r w:rsidRPr="00C565EF">
              <w:rPr>
                <w:rFonts w:eastAsia="Times New Roman"/>
                <w:sz w:val="22"/>
                <w:szCs w:val="22"/>
                <w:lang w:eastAsia="en-GB"/>
              </w:rPr>
              <w:t>the Society does not currently use automated decision-making systems</w:t>
            </w:r>
          </w:p>
        </w:tc>
        <w:tc>
          <w:tcPr>
            <w:tcW w:w="236" w:type="dxa"/>
            <w:tcBorders>
              <w:top w:val="nil"/>
              <w:left w:val="nil"/>
              <w:bottom w:val="nil"/>
              <w:right w:val="nil"/>
            </w:tcBorders>
            <w:shd w:val="clear" w:color="auto" w:fill="auto"/>
            <w:hideMark/>
          </w:tcPr>
          <w:p w14:paraId="2A2FEA5C" w14:textId="77777777" w:rsidR="00C565EF" w:rsidRPr="00C565EF" w:rsidRDefault="00C565EF" w:rsidP="00C565EF">
            <w:pPr>
              <w:rPr>
                <w:rFonts w:eastAsia="Times New Roman"/>
                <w:sz w:val="22"/>
                <w:szCs w:val="22"/>
                <w:lang w:eastAsia="en-GB"/>
              </w:rPr>
            </w:pPr>
          </w:p>
        </w:tc>
        <w:tc>
          <w:tcPr>
            <w:tcW w:w="2259" w:type="dxa"/>
            <w:tcBorders>
              <w:top w:val="nil"/>
              <w:left w:val="nil"/>
              <w:bottom w:val="nil"/>
              <w:right w:val="nil"/>
            </w:tcBorders>
            <w:shd w:val="clear" w:color="auto" w:fill="auto"/>
            <w:hideMark/>
          </w:tcPr>
          <w:p w14:paraId="2A2FEA5D" w14:textId="77777777" w:rsidR="00C565EF" w:rsidRPr="00C565EF" w:rsidRDefault="00C565EF" w:rsidP="00C565EF">
            <w:pPr>
              <w:rPr>
                <w:rFonts w:eastAsia="Times New Roman"/>
                <w:sz w:val="22"/>
                <w:szCs w:val="22"/>
                <w:lang w:eastAsia="en-GB"/>
              </w:rPr>
            </w:pPr>
          </w:p>
        </w:tc>
        <w:tc>
          <w:tcPr>
            <w:tcW w:w="2790" w:type="dxa"/>
            <w:gridSpan w:val="3"/>
            <w:tcBorders>
              <w:top w:val="nil"/>
              <w:left w:val="nil"/>
              <w:bottom w:val="nil"/>
              <w:right w:val="nil"/>
            </w:tcBorders>
            <w:shd w:val="clear" w:color="auto" w:fill="auto"/>
            <w:hideMark/>
          </w:tcPr>
          <w:p w14:paraId="2A2FEA5E" w14:textId="77777777" w:rsidR="00C565EF" w:rsidRPr="00C565EF" w:rsidRDefault="00C565EF" w:rsidP="00C565EF">
            <w:pPr>
              <w:rPr>
                <w:rFonts w:eastAsia="Times New Roman"/>
                <w:sz w:val="22"/>
                <w:szCs w:val="22"/>
                <w:lang w:eastAsia="en-GB"/>
              </w:rPr>
            </w:pPr>
          </w:p>
        </w:tc>
      </w:tr>
      <w:tr w:rsidR="00C565EF" w:rsidRPr="00C565EF" w14:paraId="2A2FEA65" w14:textId="77777777" w:rsidTr="00C565EF">
        <w:trPr>
          <w:gridAfter w:val="1"/>
          <w:wAfter w:w="1181" w:type="dxa"/>
          <w:trHeight w:val="300"/>
        </w:trPr>
        <w:tc>
          <w:tcPr>
            <w:tcW w:w="6880" w:type="dxa"/>
            <w:gridSpan w:val="4"/>
            <w:tcBorders>
              <w:top w:val="nil"/>
              <w:left w:val="nil"/>
              <w:bottom w:val="nil"/>
              <w:right w:val="nil"/>
            </w:tcBorders>
            <w:shd w:val="clear" w:color="auto" w:fill="auto"/>
            <w:noWrap/>
            <w:hideMark/>
          </w:tcPr>
          <w:p w14:paraId="2A2FEA60" w14:textId="77777777" w:rsidR="00C565EF" w:rsidRPr="00C565EF" w:rsidRDefault="00C565EF" w:rsidP="00C565EF">
            <w:pPr>
              <w:rPr>
                <w:rFonts w:eastAsia="Times New Roman"/>
                <w:b/>
                <w:bCs/>
                <w:sz w:val="22"/>
                <w:szCs w:val="22"/>
                <w:lang w:eastAsia="en-GB"/>
              </w:rPr>
            </w:pPr>
            <w:r w:rsidRPr="00C565EF">
              <w:rPr>
                <w:rFonts w:eastAsia="Times New Roman"/>
                <w:b/>
                <w:bCs/>
                <w:sz w:val="22"/>
                <w:szCs w:val="22"/>
                <w:lang w:eastAsia="en-GB"/>
              </w:rPr>
              <w:t>CCBE</w:t>
            </w:r>
            <w:r w:rsidRPr="00C565EF">
              <w:rPr>
                <w:rFonts w:eastAsia="Times New Roman"/>
                <w:sz w:val="22"/>
                <w:szCs w:val="22"/>
                <w:lang w:eastAsia="en-GB"/>
              </w:rPr>
              <w:t xml:space="preserve"> Council of Bars and Law Societies of Europe </w:t>
            </w:r>
          </w:p>
        </w:tc>
        <w:tc>
          <w:tcPr>
            <w:tcW w:w="4050" w:type="dxa"/>
            <w:gridSpan w:val="3"/>
            <w:tcBorders>
              <w:top w:val="nil"/>
              <w:left w:val="nil"/>
              <w:bottom w:val="nil"/>
              <w:right w:val="nil"/>
            </w:tcBorders>
            <w:shd w:val="clear" w:color="auto" w:fill="auto"/>
            <w:hideMark/>
          </w:tcPr>
          <w:p w14:paraId="2A2FEA61"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62" w14:textId="77777777" w:rsidR="00C565EF" w:rsidRPr="00C565EF" w:rsidRDefault="00C565EF" w:rsidP="00C565EF">
            <w:pPr>
              <w:rPr>
                <w:rFonts w:eastAsia="Times New Roman"/>
                <w:sz w:val="22"/>
                <w:szCs w:val="22"/>
                <w:lang w:eastAsia="en-GB"/>
              </w:rPr>
            </w:pPr>
          </w:p>
        </w:tc>
        <w:tc>
          <w:tcPr>
            <w:tcW w:w="2259" w:type="dxa"/>
            <w:tcBorders>
              <w:top w:val="nil"/>
              <w:left w:val="nil"/>
              <w:bottom w:val="nil"/>
              <w:right w:val="nil"/>
            </w:tcBorders>
            <w:shd w:val="clear" w:color="auto" w:fill="auto"/>
            <w:hideMark/>
          </w:tcPr>
          <w:p w14:paraId="2A2FEA63" w14:textId="77777777" w:rsidR="00C565EF" w:rsidRPr="00C565EF" w:rsidRDefault="00C565EF" w:rsidP="00C565EF">
            <w:pPr>
              <w:rPr>
                <w:rFonts w:eastAsia="Times New Roman"/>
                <w:sz w:val="22"/>
                <w:szCs w:val="22"/>
                <w:lang w:eastAsia="en-GB"/>
              </w:rPr>
            </w:pPr>
          </w:p>
        </w:tc>
        <w:tc>
          <w:tcPr>
            <w:tcW w:w="2790" w:type="dxa"/>
            <w:gridSpan w:val="3"/>
            <w:tcBorders>
              <w:top w:val="nil"/>
              <w:left w:val="nil"/>
              <w:bottom w:val="nil"/>
              <w:right w:val="nil"/>
            </w:tcBorders>
            <w:shd w:val="clear" w:color="auto" w:fill="auto"/>
            <w:hideMark/>
          </w:tcPr>
          <w:p w14:paraId="2A2FEA64" w14:textId="77777777" w:rsidR="00C565EF" w:rsidRPr="00C565EF" w:rsidRDefault="00C565EF" w:rsidP="00C565EF">
            <w:pPr>
              <w:rPr>
                <w:rFonts w:eastAsia="Times New Roman"/>
                <w:sz w:val="22"/>
                <w:szCs w:val="22"/>
                <w:lang w:eastAsia="en-GB"/>
              </w:rPr>
            </w:pPr>
          </w:p>
        </w:tc>
      </w:tr>
      <w:tr w:rsidR="00FF2A63" w:rsidRPr="00C565EF" w14:paraId="2A2FEA68" w14:textId="77777777" w:rsidTr="00D654FF">
        <w:trPr>
          <w:gridAfter w:val="1"/>
          <w:wAfter w:w="1181" w:type="dxa"/>
          <w:trHeight w:val="300"/>
        </w:trPr>
        <w:tc>
          <w:tcPr>
            <w:tcW w:w="13425" w:type="dxa"/>
            <w:gridSpan w:val="9"/>
            <w:tcBorders>
              <w:top w:val="nil"/>
              <w:left w:val="nil"/>
              <w:bottom w:val="nil"/>
              <w:right w:val="nil"/>
            </w:tcBorders>
            <w:shd w:val="clear" w:color="auto" w:fill="auto"/>
            <w:noWrap/>
            <w:hideMark/>
          </w:tcPr>
          <w:p w14:paraId="2A2FEA66" w14:textId="77777777" w:rsidR="00FF2A63" w:rsidRPr="00C565EF" w:rsidRDefault="00FF2A63" w:rsidP="00C565EF">
            <w:pPr>
              <w:rPr>
                <w:rFonts w:eastAsia="Times New Roman"/>
                <w:sz w:val="22"/>
                <w:szCs w:val="22"/>
                <w:lang w:eastAsia="en-GB"/>
              </w:rPr>
            </w:pPr>
            <w:r w:rsidRPr="00C565EF">
              <w:rPr>
                <w:rFonts w:eastAsia="Times New Roman"/>
                <w:b/>
                <w:bCs/>
                <w:sz w:val="22"/>
                <w:szCs w:val="22"/>
                <w:lang w:eastAsia="en-GB"/>
              </w:rPr>
              <w:t>Children</w:t>
            </w:r>
            <w:r w:rsidRPr="00C565EF">
              <w:rPr>
                <w:rFonts w:eastAsia="Times New Roman"/>
                <w:sz w:val="22"/>
                <w:szCs w:val="22"/>
                <w:lang w:eastAsia="en-GB"/>
              </w:rPr>
              <w:t xml:space="preserve"> If you are aged under 14, we will need consent from your parent or guardian </w:t>
            </w:r>
            <w:proofErr w:type="gramStart"/>
            <w:r w:rsidRPr="00C565EF">
              <w:rPr>
                <w:rFonts w:eastAsia="Times New Roman"/>
                <w:sz w:val="22"/>
                <w:szCs w:val="22"/>
                <w:lang w:eastAsia="en-GB"/>
              </w:rPr>
              <w:t>in order for</w:t>
            </w:r>
            <w:proofErr w:type="gramEnd"/>
            <w:r w:rsidRPr="00C565EF">
              <w:rPr>
                <w:rFonts w:eastAsia="Times New Roman"/>
                <w:sz w:val="22"/>
                <w:szCs w:val="22"/>
                <w:lang w:eastAsia="en-GB"/>
              </w:rPr>
              <w:t xml:space="preserve"> you to use our services.</w:t>
            </w:r>
          </w:p>
        </w:tc>
        <w:tc>
          <w:tcPr>
            <w:tcW w:w="2790" w:type="dxa"/>
            <w:gridSpan w:val="3"/>
            <w:tcBorders>
              <w:top w:val="nil"/>
              <w:left w:val="nil"/>
              <w:bottom w:val="nil"/>
              <w:right w:val="nil"/>
            </w:tcBorders>
            <w:shd w:val="clear" w:color="auto" w:fill="auto"/>
            <w:hideMark/>
          </w:tcPr>
          <w:p w14:paraId="2A2FEA67" w14:textId="77777777" w:rsidR="00FF2A63" w:rsidRPr="00C565EF" w:rsidRDefault="00FF2A63" w:rsidP="00C565EF">
            <w:pPr>
              <w:rPr>
                <w:rFonts w:eastAsia="Times New Roman"/>
                <w:sz w:val="22"/>
                <w:szCs w:val="22"/>
                <w:lang w:eastAsia="en-GB"/>
              </w:rPr>
            </w:pPr>
          </w:p>
        </w:tc>
      </w:tr>
      <w:tr w:rsidR="00FF2A63" w:rsidRPr="00C565EF" w14:paraId="2A2FEA6A" w14:textId="77777777" w:rsidTr="007D6664">
        <w:trPr>
          <w:gridAfter w:val="1"/>
          <w:wAfter w:w="1181" w:type="dxa"/>
          <w:trHeight w:val="300"/>
        </w:trPr>
        <w:tc>
          <w:tcPr>
            <w:tcW w:w="16215" w:type="dxa"/>
            <w:gridSpan w:val="12"/>
            <w:tcBorders>
              <w:top w:val="nil"/>
              <w:left w:val="nil"/>
              <w:bottom w:val="nil"/>
              <w:right w:val="nil"/>
            </w:tcBorders>
            <w:shd w:val="clear" w:color="auto" w:fill="auto"/>
            <w:noWrap/>
            <w:hideMark/>
          </w:tcPr>
          <w:p w14:paraId="2A2FEA69" w14:textId="77777777" w:rsidR="00FF2A63" w:rsidRPr="00C565EF" w:rsidRDefault="00FF2A63" w:rsidP="00C565EF">
            <w:pPr>
              <w:rPr>
                <w:rFonts w:eastAsia="Times New Roman"/>
                <w:sz w:val="22"/>
                <w:szCs w:val="22"/>
                <w:lang w:eastAsia="en-GB"/>
              </w:rPr>
            </w:pPr>
            <w:r w:rsidRPr="00C565EF">
              <w:rPr>
                <w:rFonts w:eastAsia="Times New Roman"/>
                <w:b/>
                <w:bCs/>
                <w:sz w:val="22"/>
                <w:szCs w:val="22"/>
                <w:lang w:eastAsia="en-GB"/>
              </w:rPr>
              <w:t>Committees,</w:t>
            </w:r>
            <w:r w:rsidRPr="00C565EF">
              <w:rPr>
                <w:rFonts w:eastAsia="Times New Roman"/>
                <w:sz w:val="22"/>
                <w:szCs w:val="22"/>
                <w:lang w:eastAsia="en-GB"/>
              </w:rPr>
              <w:t xml:space="preserve"> includes Office Bearers, </w:t>
            </w:r>
            <w:r>
              <w:rPr>
                <w:rFonts w:eastAsia="Times New Roman"/>
                <w:sz w:val="22"/>
                <w:szCs w:val="22"/>
                <w:lang w:eastAsia="en-GB"/>
              </w:rPr>
              <w:t>committees, s</w:t>
            </w:r>
            <w:r w:rsidRPr="00C565EF">
              <w:rPr>
                <w:rFonts w:eastAsia="Times New Roman"/>
                <w:sz w:val="22"/>
                <w:szCs w:val="22"/>
                <w:lang w:eastAsia="en-GB"/>
              </w:rPr>
              <w:t xml:space="preserve">ubcommittees, working parties, </w:t>
            </w:r>
            <w:proofErr w:type="gramStart"/>
            <w:r w:rsidRPr="00C565EF">
              <w:rPr>
                <w:rFonts w:eastAsia="Times New Roman"/>
                <w:sz w:val="22"/>
                <w:szCs w:val="22"/>
                <w:lang w:eastAsia="en-GB"/>
              </w:rPr>
              <w:t>council</w:t>
            </w:r>
            <w:proofErr w:type="gramEnd"/>
            <w:r w:rsidRPr="00C565EF">
              <w:rPr>
                <w:rFonts w:eastAsia="Times New Roman"/>
                <w:sz w:val="22"/>
                <w:szCs w:val="22"/>
                <w:lang w:eastAsia="en-GB"/>
              </w:rPr>
              <w:t xml:space="preserve"> and board as well as assessors,</w:t>
            </w:r>
            <w:r>
              <w:rPr>
                <w:rFonts w:eastAsia="Times New Roman"/>
                <w:sz w:val="22"/>
                <w:szCs w:val="22"/>
                <w:lang w:eastAsia="en-GB"/>
              </w:rPr>
              <w:t xml:space="preserve"> CCBE</w:t>
            </w:r>
            <w:r w:rsidRPr="00C565EF">
              <w:rPr>
                <w:rFonts w:eastAsia="Times New Roman"/>
                <w:sz w:val="22"/>
                <w:szCs w:val="22"/>
                <w:lang w:eastAsia="en-GB"/>
              </w:rPr>
              <w:t xml:space="preserve"> markers and ad hoc bodies and appointees.</w:t>
            </w:r>
          </w:p>
        </w:tc>
      </w:tr>
      <w:tr w:rsidR="00C565EF" w:rsidRPr="00C565EF" w14:paraId="2A2FEA6F" w14:textId="77777777" w:rsidTr="00C565EF">
        <w:trPr>
          <w:trHeight w:val="300"/>
        </w:trPr>
        <w:tc>
          <w:tcPr>
            <w:tcW w:w="10930" w:type="dxa"/>
            <w:gridSpan w:val="7"/>
            <w:tcBorders>
              <w:top w:val="nil"/>
              <w:left w:val="nil"/>
              <w:bottom w:val="nil"/>
              <w:right w:val="nil"/>
            </w:tcBorders>
            <w:shd w:val="clear" w:color="auto" w:fill="auto"/>
            <w:noWrap/>
            <w:hideMark/>
          </w:tcPr>
          <w:p w14:paraId="2A2FEA6B"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DWP</w:t>
            </w:r>
            <w:r w:rsidRPr="00C565EF">
              <w:rPr>
                <w:rFonts w:eastAsia="Times New Roman"/>
                <w:sz w:val="22"/>
                <w:szCs w:val="22"/>
                <w:lang w:eastAsia="en-GB"/>
              </w:rPr>
              <w:t xml:space="preserve"> the Department for Work and Pensions, and any other similar government department or body</w:t>
            </w:r>
          </w:p>
        </w:tc>
        <w:tc>
          <w:tcPr>
            <w:tcW w:w="3440" w:type="dxa"/>
            <w:gridSpan w:val="3"/>
            <w:tcBorders>
              <w:top w:val="nil"/>
              <w:left w:val="nil"/>
              <w:bottom w:val="nil"/>
              <w:right w:val="nil"/>
            </w:tcBorders>
            <w:shd w:val="clear" w:color="auto" w:fill="auto"/>
            <w:hideMark/>
          </w:tcPr>
          <w:p w14:paraId="2A2FEA6C"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6D"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6E" w14:textId="77777777" w:rsidR="00C565EF" w:rsidRPr="00C565EF" w:rsidRDefault="00C565EF" w:rsidP="00C565EF">
            <w:pPr>
              <w:rPr>
                <w:rFonts w:eastAsia="Times New Roman"/>
                <w:sz w:val="22"/>
                <w:szCs w:val="22"/>
                <w:lang w:eastAsia="en-GB"/>
              </w:rPr>
            </w:pPr>
          </w:p>
        </w:tc>
      </w:tr>
      <w:tr w:rsidR="00C565EF" w:rsidRPr="00C565EF" w14:paraId="2A2FEA76" w14:textId="77777777" w:rsidTr="00C565EF">
        <w:trPr>
          <w:trHeight w:val="300"/>
        </w:trPr>
        <w:tc>
          <w:tcPr>
            <w:tcW w:w="3440" w:type="dxa"/>
            <w:gridSpan w:val="2"/>
            <w:tcBorders>
              <w:top w:val="nil"/>
              <w:left w:val="nil"/>
              <w:bottom w:val="nil"/>
              <w:right w:val="nil"/>
            </w:tcBorders>
            <w:shd w:val="clear" w:color="auto" w:fill="auto"/>
            <w:noWrap/>
            <w:hideMark/>
          </w:tcPr>
          <w:p w14:paraId="2A2FEA70"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HMRC</w:t>
            </w:r>
            <w:r w:rsidRPr="00C565EF">
              <w:rPr>
                <w:rFonts w:eastAsia="Times New Roman"/>
                <w:sz w:val="22"/>
                <w:szCs w:val="22"/>
                <w:lang w:eastAsia="en-GB"/>
              </w:rPr>
              <w:t xml:space="preserve"> HM Revenue &amp; Customs</w:t>
            </w:r>
          </w:p>
        </w:tc>
        <w:tc>
          <w:tcPr>
            <w:tcW w:w="3440" w:type="dxa"/>
            <w:gridSpan w:val="2"/>
            <w:tcBorders>
              <w:top w:val="nil"/>
              <w:left w:val="nil"/>
              <w:bottom w:val="nil"/>
              <w:right w:val="nil"/>
            </w:tcBorders>
            <w:shd w:val="clear" w:color="auto" w:fill="auto"/>
            <w:noWrap/>
            <w:hideMark/>
          </w:tcPr>
          <w:p w14:paraId="2A2FEA71" w14:textId="77777777" w:rsidR="00C565EF" w:rsidRPr="00C565EF" w:rsidRDefault="00C565EF" w:rsidP="00C565EF">
            <w:pPr>
              <w:rPr>
                <w:rFonts w:eastAsia="Times New Roman"/>
                <w:sz w:val="22"/>
                <w:szCs w:val="22"/>
                <w:lang w:eastAsia="en-GB"/>
              </w:rPr>
            </w:pPr>
          </w:p>
        </w:tc>
        <w:tc>
          <w:tcPr>
            <w:tcW w:w="4050" w:type="dxa"/>
            <w:gridSpan w:val="3"/>
            <w:tcBorders>
              <w:top w:val="nil"/>
              <w:left w:val="nil"/>
              <w:bottom w:val="nil"/>
              <w:right w:val="nil"/>
            </w:tcBorders>
            <w:shd w:val="clear" w:color="auto" w:fill="auto"/>
            <w:hideMark/>
          </w:tcPr>
          <w:p w14:paraId="2A2FEA72" w14:textId="77777777" w:rsidR="00C565EF" w:rsidRPr="00C565EF" w:rsidRDefault="00C565EF" w:rsidP="00C565EF">
            <w:pPr>
              <w:rPr>
                <w:rFonts w:eastAsia="Times New Roman"/>
                <w:sz w:val="22"/>
                <w:szCs w:val="22"/>
                <w:lang w:eastAsia="en-GB"/>
              </w:rPr>
            </w:pPr>
          </w:p>
        </w:tc>
        <w:tc>
          <w:tcPr>
            <w:tcW w:w="3440" w:type="dxa"/>
            <w:gridSpan w:val="3"/>
            <w:tcBorders>
              <w:top w:val="nil"/>
              <w:left w:val="nil"/>
              <w:bottom w:val="nil"/>
              <w:right w:val="nil"/>
            </w:tcBorders>
            <w:shd w:val="clear" w:color="auto" w:fill="auto"/>
            <w:hideMark/>
          </w:tcPr>
          <w:p w14:paraId="2A2FEA73"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74"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75" w14:textId="77777777" w:rsidR="00C565EF" w:rsidRPr="00C565EF" w:rsidRDefault="00C565EF" w:rsidP="00C565EF">
            <w:pPr>
              <w:rPr>
                <w:rFonts w:eastAsia="Times New Roman"/>
                <w:sz w:val="22"/>
                <w:szCs w:val="22"/>
                <w:lang w:eastAsia="en-GB"/>
              </w:rPr>
            </w:pPr>
          </w:p>
        </w:tc>
      </w:tr>
      <w:tr w:rsidR="00FF2A63" w:rsidRPr="00C565EF" w14:paraId="2A2FEA78" w14:textId="77777777" w:rsidTr="001E3EE2">
        <w:trPr>
          <w:trHeight w:val="300"/>
        </w:trPr>
        <w:tc>
          <w:tcPr>
            <w:tcW w:w="17396" w:type="dxa"/>
            <w:gridSpan w:val="13"/>
            <w:tcBorders>
              <w:top w:val="nil"/>
              <w:left w:val="nil"/>
              <w:bottom w:val="nil"/>
              <w:right w:val="nil"/>
            </w:tcBorders>
            <w:shd w:val="clear" w:color="auto" w:fill="auto"/>
            <w:noWrap/>
            <w:hideMark/>
          </w:tcPr>
          <w:p w14:paraId="2A2FEA77" w14:textId="77777777" w:rsidR="00FF2A63" w:rsidRPr="00C565EF" w:rsidRDefault="00FF2A63" w:rsidP="00C565EF">
            <w:pPr>
              <w:rPr>
                <w:rFonts w:eastAsia="Times New Roman"/>
                <w:sz w:val="22"/>
                <w:szCs w:val="22"/>
                <w:lang w:eastAsia="en-GB"/>
              </w:rPr>
            </w:pPr>
            <w:r w:rsidRPr="00C565EF">
              <w:rPr>
                <w:rFonts w:eastAsia="Times New Roman"/>
                <w:b/>
                <w:bCs/>
                <w:sz w:val="22"/>
                <w:szCs w:val="22"/>
                <w:lang w:eastAsia="en-GB"/>
              </w:rPr>
              <w:t xml:space="preserve">International transfers </w:t>
            </w:r>
            <w:r w:rsidRPr="00C565EF">
              <w:rPr>
                <w:rFonts w:eastAsia="Times New Roman"/>
                <w:sz w:val="22"/>
                <w:szCs w:val="22"/>
                <w:lang w:eastAsia="en-GB"/>
              </w:rPr>
              <w:t>information will not be processed outside the EEA/countries offering adequate data protection standards in unencrypted form</w:t>
            </w:r>
          </w:p>
        </w:tc>
      </w:tr>
      <w:tr w:rsidR="00C565EF" w:rsidRPr="00C565EF" w14:paraId="2A2FEA7C" w14:textId="77777777" w:rsidTr="00C565EF">
        <w:trPr>
          <w:trHeight w:val="300"/>
        </w:trPr>
        <w:tc>
          <w:tcPr>
            <w:tcW w:w="14370" w:type="dxa"/>
            <w:gridSpan w:val="10"/>
            <w:tcBorders>
              <w:top w:val="nil"/>
              <w:left w:val="nil"/>
              <w:bottom w:val="nil"/>
              <w:right w:val="nil"/>
            </w:tcBorders>
            <w:shd w:val="clear" w:color="auto" w:fill="auto"/>
            <w:noWrap/>
            <w:hideMark/>
          </w:tcPr>
          <w:p w14:paraId="2A2FEA79"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Rules</w:t>
            </w:r>
            <w:r w:rsidRPr="00C565EF">
              <w:rPr>
                <w:rFonts w:eastAsia="Times New Roman"/>
                <w:sz w:val="22"/>
                <w:szCs w:val="22"/>
                <w:lang w:eastAsia="en-GB"/>
              </w:rPr>
              <w:t xml:space="preserve"> includes </w:t>
            </w:r>
            <w:proofErr w:type="gramStart"/>
            <w:r w:rsidRPr="00C565EF">
              <w:rPr>
                <w:rFonts w:eastAsia="Times New Roman"/>
                <w:sz w:val="22"/>
                <w:szCs w:val="22"/>
                <w:lang w:eastAsia="en-GB"/>
              </w:rPr>
              <w:t>all of</w:t>
            </w:r>
            <w:proofErr w:type="gramEnd"/>
            <w:r w:rsidRPr="00C565EF">
              <w:rPr>
                <w:rFonts w:eastAsia="Times New Roman"/>
                <w:sz w:val="22"/>
                <w:szCs w:val="22"/>
                <w:lang w:eastAsia="en-GB"/>
              </w:rPr>
              <w:t xml:space="preserve"> the rules and regulations of the Society as well as those of the Scottish Solicitors Discipline Tribunal</w:t>
            </w:r>
          </w:p>
        </w:tc>
        <w:tc>
          <w:tcPr>
            <w:tcW w:w="236" w:type="dxa"/>
            <w:tcBorders>
              <w:top w:val="nil"/>
              <w:left w:val="nil"/>
              <w:bottom w:val="nil"/>
              <w:right w:val="nil"/>
            </w:tcBorders>
            <w:shd w:val="clear" w:color="auto" w:fill="auto"/>
            <w:hideMark/>
          </w:tcPr>
          <w:p w14:paraId="2A2FEA7A"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7B" w14:textId="77777777" w:rsidR="00C565EF" w:rsidRPr="00C565EF" w:rsidRDefault="00C565EF" w:rsidP="00C565EF">
            <w:pPr>
              <w:rPr>
                <w:rFonts w:eastAsia="Times New Roman"/>
                <w:sz w:val="22"/>
                <w:szCs w:val="22"/>
                <w:lang w:eastAsia="en-GB"/>
              </w:rPr>
            </w:pPr>
          </w:p>
        </w:tc>
      </w:tr>
      <w:tr w:rsidR="00C565EF" w:rsidRPr="00C565EF" w14:paraId="2A2FEA82" w14:textId="77777777" w:rsidTr="00C565EF">
        <w:trPr>
          <w:trHeight w:val="300"/>
        </w:trPr>
        <w:tc>
          <w:tcPr>
            <w:tcW w:w="6880" w:type="dxa"/>
            <w:gridSpan w:val="4"/>
            <w:tcBorders>
              <w:top w:val="nil"/>
              <w:left w:val="nil"/>
              <w:bottom w:val="nil"/>
              <w:right w:val="nil"/>
            </w:tcBorders>
            <w:shd w:val="clear" w:color="auto" w:fill="auto"/>
            <w:noWrap/>
            <w:hideMark/>
          </w:tcPr>
          <w:p w14:paraId="2A2FEA7D"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Society</w:t>
            </w:r>
            <w:r w:rsidRPr="00C565EF">
              <w:rPr>
                <w:rFonts w:eastAsia="Times New Roman"/>
                <w:sz w:val="22"/>
                <w:szCs w:val="22"/>
                <w:lang w:eastAsia="en-GB"/>
              </w:rPr>
              <w:t xml:space="preserve"> the Law Society of Scotland</w:t>
            </w:r>
          </w:p>
        </w:tc>
        <w:tc>
          <w:tcPr>
            <w:tcW w:w="4050" w:type="dxa"/>
            <w:gridSpan w:val="3"/>
            <w:tcBorders>
              <w:top w:val="nil"/>
              <w:left w:val="nil"/>
              <w:bottom w:val="nil"/>
              <w:right w:val="nil"/>
            </w:tcBorders>
            <w:shd w:val="clear" w:color="auto" w:fill="auto"/>
            <w:hideMark/>
          </w:tcPr>
          <w:p w14:paraId="2A2FEA7E" w14:textId="77777777" w:rsidR="00C565EF" w:rsidRPr="00C565EF" w:rsidRDefault="00C565EF" w:rsidP="00C565EF">
            <w:pPr>
              <w:rPr>
                <w:rFonts w:eastAsia="Times New Roman"/>
                <w:sz w:val="22"/>
                <w:szCs w:val="22"/>
                <w:lang w:eastAsia="en-GB"/>
              </w:rPr>
            </w:pPr>
          </w:p>
        </w:tc>
        <w:tc>
          <w:tcPr>
            <w:tcW w:w="3440" w:type="dxa"/>
            <w:gridSpan w:val="3"/>
            <w:tcBorders>
              <w:top w:val="nil"/>
              <w:left w:val="nil"/>
              <w:bottom w:val="nil"/>
              <w:right w:val="nil"/>
            </w:tcBorders>
            <w:shd w:val="clear" w:color="auto" w:fill="auto"/>
            <w:hideMark/>
          </w:tcPr>
          <w:p w14:paraId="2A2FEA7F"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80"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81" w14:textId="77777777" w:rsidR="00C565EF" w:rsidRPr="00C565EF" w:rsidRDefault="00C565EF" w:rsidP="00C565EF">
            <w:pPr>
              <w:rPr>
                <w:rFonts w:eastAsia="Times New Roman"/>
                <w:sz w:val="22"/>
                <w:szCs w:val="22"/>
                <w:lang w:eastAsia="en-GB"/>
              </w:rPr>
            </w:pPr>
          </w:p>
        </w:tc>
      </w:tr>
      <w:tr w:rsidR="00C565EF" w:rsidRPr="00C565EF" w14:paraId="2A2FEA87" w14:textId="77777777" w:rsidTr="00C565EF">
        <w:trPr>
          <w:trHeight w:val="300"/>
        </w:trPr>
        <w:tc>
          <w:tcPr>
            <w:tcW w:w="10930" w:type="dxa"/>
            <w:gridSpan w:val="7"/>
            <w:tcBorders>
              <w:top w:val="nil"/>
              <w:left w:val="nil"/>
              <w:bottom w:val="nil"/>
              <w:right w:val="nil"/>
            </w:tcBorders>
            <w:shd w:val="clear" w:color="auto" w:fill="auto"/>
            <w:noWrap/>
            <w:hideMark/>
          </w:tcPr>
          <w:p w14:paraId="2A2FEA83"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Staff</w:t>
            </w:r>
            <w:r w:rsidRPr="00C565EF">
              <w:rPr>
                <w:rFonts w:eastAsia="Times New Roman"/>
                <w:sz w:val="22"/>
                <w:szCs w:val="22"/>
                <w:lang w:eastAsia="en-GB"/>
              </w:rPr>
              <w:t xml:space="preserve"> includes Law Society of Scotland employees, </w:t>
            </w:r>
            <w:proofErr w:type="gramStart"/>
            <w:r w:rsidRPr="00C565EF">
              <w:rPr>
                <w:rFonts w:eastAsia="Times New Roman"/>
                <w:sz w:val="22"/>
                <w:szCs w:val="22"/>
                <w:lang w:eastAsia="en-GB"/>
              </w:rPr>
              <w:t>contractors</w:t>
            </w:r>
            <w:proofErr w:type="gramEnd"/>
            <w:r w:rsidRPr="00C565EF">
              <w:rPr>
                <w:rFonts w:eastAsia="Times New Roman"/>
                <w:sz w:val="22"/>
                <w:szCs w:val="22"/>
                <w:lang w:eastAsia="en-GB"/>
              </w:rPr>
              <w:t xml:space="preserve"> and temporary staff</w:t>
            </w:r>
          </w:p>
        </w:tc>
        <w:tc>
          <w:tcPr>
            <w:tcW w:w="3440" w:type="dxa"/>
            <w:gridSpan w:val="3"/>
            <w:tcBorders>
              <w:top w:val="nil"/>
              <w:left w:val="nil"/>
              <w:bottom w:val="nil"/>
              <w:right w:val="nil"/>
            </w:tcBorders>
            <w:shd w:val="clear" w:color="auto" w:fill="auto"/>
            <w:hideMark/>
          </w:tcPr>
          <w:p w14:paraId="2A2FEA84"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85"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86" w14:textId="77777777" w:rsidR="00C565EF" w:rsidRPr="00C565EF" w:rsidRDefault="00C565EF" w:rsidP="00C565EF">
            <w:pPr>
              <w:rPr>
                <w:rFonts w:eastAsia="Times New Roman"/>
                <w:sz w:val="22"/>
                <w:szCs w:val="22"/>
                <w:lang w:eastAsia="en-GB"/>
              </w:rPr>
            </w:pPr>
          </w:p>
        </w:tc>
      </w:tr>
      <w:tr w:rsidR="00FF2A63" w:rsidRPr="00C565EF" w14:paraId="2A2FEA89" w14:textId="77777777" w:rsidTr="00E54BE9">
        <w:trPr>
          <w:gridAfter w:val="1"/>
          <w:wAfter w:w="1181" w:type="dxa"/>
          <w:trHeight w:val="300"/>
        </w:trPr>
        <w:tc>
          <w:tcPr>
            <w:tcW w:w="16215" w:type="dxa"/>
            <w:gridSpan w:val="12"/>
            <w:tcBorders>
              <w:top w:val="nil"/>
              <w:left w:val="nil"/>
              <w:bottom w:val="nil"/>
              <w:right w:val="nil"/>
            </w:tcBorders>
            <w:shd w:val="clear" w:color="auto" w:fill="auto"/>
            <w:noWrap/>
            <w:hideMark/>
          </w:tcPr>
          <w:p w14:paraId="2A2FEA88" w14:textId="77777777" w:rsidR="00FF2A63" w:rsidRPr="00C565EF" w:rsidRDefault="00FF2A63" w:rsidP="00C565EF">
            <w:pPr>
              <w:rPr>
                <w:rFonts w:eastAsia="Times New Roman"/>
                <w:sz w:val="22"/>
                <w:szCs w:val="22"/>
                <w:lang w:eastAsia="en-GB"/>
              </w:rPr>
            </w:pPr>
            <w:r w:rsidRPr="00C565EF">
              <w:rPr>
                <w:rFonts w:eastAsia="Times New Roman"/>
                <w:b/>
                <w:bCs/>
                <w:sz w:val="22"/>
                <w:szCs w:val="22"/>
                <w:lang w:eastAsia="en-GB"/>
              </w:rPr>
              <w:t>Statute</w:t>
            </w:r>
            <w:r w:rsidRPr="00C565EF">
              <w:rPr>
                <w:rFonts w:eastAsia="Times New Roman"/>
                <w:sz w:val="22"/>
                <w:szCs w:val="22"/>
                <w:lang w:eastAsia="en-GB"/>
              </w:rPr>
              <w:t xml:space="preserve"> includes all legislation, statutory instruments and regulations relating to the governance of solicitors as generally detailed in the Solicitors Professional Handbook</w:t>
            </w:r>
          </w:p>
        </w:tc>
      </w:tr>
      <w:tr w:rsidR="00C565EF" w:rsidRPr="00C565EF" w14:paraId="2A2FEA90" w14:textId="77777777" w:rsidTr="00C565EF">
        <w:trPr>
          <w:trHeight w:val="300"/>
        </w:trPr>
        <w:tc>
          <w:tcPr>
            <w:tcW w:w="3440" w:type="dxa"/>
            <w:gridSpan w:val="2"/>
            <w:tcBorders>
              <w:top w:val="nil"/>
              <w:left w:val="nil"/>
              <w:bottom w:val="nil"/>
              <w:right w:val="nil"/>
            </w:tcBorders>
            <w:shd w:val="clear" w:color="auto" w:fill="auto"/>
            <w:noWrap/>
            <w:hideMark/>
          </w:tcPr>
          <w:p w14:paraId="2A2FEA8A" w14:textId="77777777" w:rsidR="00C565EF" w:rsidRPr="00C565EF" w:rsidRDefault="00C565EF" w:rsidP="00C565EF">
            <w:pPr>
              <w:rPr>
                <w:rFonts w:eastAsia="Times New Roman"/>
                <w:b/>
                <w:bCs/>
                <w:sz w:val="22"/>
                <w:szCs w:val="22"/>
                <w:lang w:eastAsia="en-GB"/>
              </w:rPr>
            </w:pPr>
            <w:r w:rsidRPr="00C565EF">
              <w:rPr>
                <w:rFonts w:eastAsia="Times New Roman"/>
                <w:b/>
                <w:bCs/>
                <w:sz w:val="22"/>
                <w:szCs w:val="22"/>
                <w:lang w:eastAsia="en-GB"/>
              </w:rPr>
              <w:t xml:space="preserve">SLAB </w:t>
            </w:r>
            <w:r w:rsidRPr="00C565EF">
              <w:rPr>
                <w:rFonts w:eastAsia="Times New Roman"/>
                <w:sz w:val="22"/>
                <w:szCs w:val="22"/>
                <w:lang w:eastAsia="en-GB"/>
              </w:rPr>
              <w:t>Scottish Legal Aid Board</w:t>
            </w:r>
          </w:p>
        </w:tc>
        <w:tc>
          <w:tcPr>
            <w:tcW w:w="3440" w:type="dxa"/>
            <w:gridSpan w:val="2"/>
            <w:tcBorders>
              <w:top w:val="nil"/>
              <w:left w:val="nil"/>
              <w:bottom w:val="nil"/>
              <w:right w:val="nil"/>
            </w:tcBorders>
            <w:shd w:val="clear" w:color="auto" w:fill="auto"/>
            <w:noWrap/>
            <w:hideMark/>
          </w:tcPr>
          <w:p w14:paraId="2A2FEA8B" w14:textId="77777777" w:rsidR="00C565EF" w:rsidRPr="00C565EF" w:rsidRDefault="00C565EF" w:rsidP="00C565EF">
            <w:pPr>
              <w:rPr>
                <w:rFonts w:eastAsia="Times New Roman"/>
                <w:sz w:val="22"/>
                <w:szCs w:val="22"/>
                <w:lang w:eastAsia="en-GB"/>
              </w:rPr>
            </w:pPr>
          </w:p>
        </w:tc>
        <w:tc>
          <w:tcPr>
            <w:tcW w:w="4050" w:type="dxa"/>
            <w:gridSpan w:val="3"/>
            <w:tcBorders>
              <w:top w:val="nil"/>
              <w:left w:val="nil"/>
              <w:bottom w:val="nil"/>
              <w:right w:val="nil"/>
            </w:tcBorders>
            <w:shd w:val="clear" w:color="auto" w:fill="auto"/>
            <w:hideMark/>
          </w:tcPr>
          <w:p w14:paraId="2A2FEA8C" w14:textId="77777777" w:rsidR="00C565EF" w:rsidRPr="00C565EF" w:rsidRDefault="00C565EF" w:rsidP="00C565EF">
            <w:pPr>
              <w:rPr>
                <w:rFonts w:eastAsia="Times New Roman"/>
                <w:sz w:val="22"/>
                <w:szCs w:val="22"/>
                <w:lang w:eastAsia="en-GB"/>
              </w:rPr>
            </w:pPr>
          </w:p>
        </w:tc>
        <w:tc>
          <w:tcPr>
            <w:tcW w:w="3440" w:type="dxa"/>
            <w:gridSpan w:val="3"/>
            <w:tcBorders>
              <w:top w:val="nil"/>
              <w:left w:val="nil"/>
              <w:bottom w:val="nil"/>
              <w:right w:val="nil"/>
            </w:tcBorders>
            <w:shd w:val="clear" w:color="auto" w:fill="auto"/>
            <w:hideMark/>
          </w:tcPr>
          <w:p w14:paraId="2A2FEA8D"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8E"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8F" w14:textId="77777777" w:rsidR="00C565EF" w:rsidRPr="00C565EF" w:rsidRDefault="00C565EF" w:rsidP="00C565EF">
            <w:pPr>
              <w:rPr>
                <w:rFonts w:eastAsia="Times New Roman"/>
                <w:sz w:val="22"/>
                <w:szCs w:val="22"/>
                <w:lang w:eastAsia="en-GB"/>
              </w:rPr>
            </w:pPr>
          </w:p>
        </w:tc>
      </w:tr>
      <w:tr w:rsidR="00C565EF" w:rsidRPr="00C565EF" w14:paraId="2A2FEA96" w14:textId="77777777" w:rsidTr="00C565EF">
        <w:trPr>
          <w:trHeight w:val="300"/>
        </w:trPr>
        <w:tc>
          <w:tcPr>
            <w:tcW w:w="6880" w:type="dxa"/>
            <w:gridSpan w:val="4"/>
            <w:tcBorders>
              <w:top w:val="nil"/>
              <w:left w:val="nil"/>
              <w:bottom w:val="nil"/>
              <w:right w:val="nil"/>
            </w:tcBorders>
            <w:shd w:val="clear" w:color="auto" w:fill="auto"/>
            <w:noWrap/>
            <w:hideMark/>
          </w:tcPr>
          <w:p w14:paraId="2A2FEA91"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SLCC</w:t>
            </w:r>
            <w:r w:rsidRPr="00C565EF">
              <w:rPr>
                <w:rFonts w:eastAsia="Times New Roman"/>
                <w:sz w:val="22"/>
                <w:szCs w:val="22"/>
                <w:lang w:eastAsia="en-GB"/>
              </w:rPr>
              <w:t xml:space="preserve"> Scottish Legal Complaints Commission</w:t>
            </w:r>
          </w:p>
        </w:tc>
        <w:tc>
          <w:tcPr>
            <w:tcW w:w="4050" w:type="dxa"/>
            <w:gridSpan w:val="3"/>
            <w:tcBorders>
              <w:top w:val="nil"/>
              <w:left w:val="nil"/>
              <w:bottom w:val="nil"/>
              <w:right w:val="nil"/>
            </w:tcBorders>
            <w:shd w:val="clear" w:color="auto" w:fill="auto"/>
            <w:hideMark/>
          </w:tcPr>
          <w:p w14:paraId="2A2FEA92" w14:textId="77777777" w:rsidR="00C565EF" w:rsidRPr="00C565EF" w:rsidRDefault="00C565EF" w:rsidP="00C565EF">
            <w:pPr>
              <w:rPr>
                <w:rFonts w:eastAsia="Times New Roman"/>
                <w:sz w:val="22"/>
                <w:szCs w:val="22"/>
                <w:lang w:eastAsia="en-GB"/>
              </w:rPr>
            </w:pPr>
          </w:p>
        </w:tc>
        <w:tc>
          <w:tcPr>
            <w:tcW w:w="3440" w:type="dxa"/>
            <w:gridSpan w:val="3"/>
            <w:tcBorders>
              <w:top w:val="nil"/>
              <w:left w:val="nil"/>
              <w:bottom w:val="nil"/>
              <w:right w:val="nil"/>
            </w:tcBorders>
            <w:shd w:val="clear" w:color="auto" w:fill="auto"/>
            <w:hideMark/>
          </w:tcPr>
          <w:p w14:paraId="2A2FEA93"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94"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95" w14:textId="77777777" w:rsidR="00C565EF" w:rsidRPr="00C565EF" w:rsidRDefault="00C565EF" w:rsidP="00C565EF">
            <w:pPr>
              <w:rPr>
                <w:rFonts w:eastAsia="Times New Roman"/>
                <w:sz w:val="22"/>
                <w:szCs w:val="22"/>
                <w:lang w:eastAsia="en-GB"/>
              </w:rPr>
            </w:pPr>
          </w:p>
        </w:tc>
      </w:tr>
      <w:tr w:rsidR="00C565EF" w:rsidRPr="00C565EF" w14:paraId="2A2FEA9C" w14:textId="77777777" w:rsidTr="00C565EF">
        <w:trPr>
          <w:trHeight w:val="300"/>
        </w:trPr>
        <w:tc>
          <w:tcPr>
            <w:tcW w:w="6880" w:type="dxa"/>
            <w:gridSpan w:val="4"/>
            <w:tcBorders>
              <w:top w:val="nil"/>
              <w:left w:val="nil"/>
              <w:bottom w:val="nil"/>
              <w:right w:val="nil"/>
            </w:tcBorders>
            <w:shd w:val="clear" w:color="auto" w:fill="auto"/>
            <w:noWrap/>
            <w:hideMark/>
          </w:tcPr>
          <w:p w14:paraId="2A2FEA97" w14:textId="77777777" w:rsidR="00C565EF" w:rsidRPr="00C565EF" w:rsidRDefault="00C565EF" w:rsidP="00C565EF">
            <w:pPr>
              <w:rPr>
                <w:rFonts w:eastAsia="Times New Roman"/>
                <w:b/>
                <w:bCs/>
                <w:sz w:val="22"/>
                <w:szCs w:val="22"/>
                <w:lang w:eastAsia="en-GB"/>
              </w:rPr>
            </w:pPr>
            <w:r w:rsidRPr="00C565EF">
              <w:rPr>
                <w:rFonts w:eastAsia="Times New Roman"/>
                <w:b/>
                <w:bCs/>
                <w:sz w:val="22"/>
                <w:szCs w:val="22"/>
                <w:lang w:eastAsia="en-GB"/>
              </w:rPr>
              <w:t xml:space="preserve">SQA </w:t>
            </w:r>
            <w:r w:rsidRPr="00C565EF">
              <w:rPr>
                <w:rFonts w:eastAsia="Times New Roman"/>
                <w:sz w:val="22"/>
                <w:szCs w:val="22"/>
                <w:lang w:eastAsia="en-GB"/>
              </w:rPr>
              <w:t>Scottish Qualifications Authority</w:t>
            </w:r>
          </w:p>
        </w:tc>
        <w:tc>
          <w:tcPr>
            <w:tcW w:w="4050" w:type="dxa"/>
            <w:gridSpan w:val="3"/>
            <w:tcBorders>
              <w:top w:val="nil"/>
              <w:left w:val="nil"/>
              <w:bottom w:val="nil"/>
              <w:right w:val="nil"/>
            </w:tcBorders>
            <w:shd w:val="clear" w:color="auto" w:fill="auto"/>
            <w:hideMark/>
          </w:tcPr>
          <w:p w14:paraId="2A2FEA98" w14:textId="77777777" w:rsidR="00C565EF" w:rsidRPr="00C565EF" w:rsidRDefault="00C565EF" w:rsidP="00C565EF">
            <w:pPr>
              <w:rPr>
                <w:rFonts w:eastAsia="Times New Roman"/>
                <w:b/>
                <w:bCs/>
                <w:sz w:val="22"/>
                <w:szCs w:val="22"/>
                <w:lang w:eastAsia="en-GB"/>
              </w:rPr>
            </w:pPr>
          </w:p>
        </w:tc>
        <w:tc>
          <w:tcPr>
            <w:tcW w:w="3440" w:type="dxa"/>
            <w:gridSpan w:val="3"/>
            <w:tcBorders>
              <w:top w:val="nil"/>
              <w:left w:val="nil"/>
              <w:bottom w:val="nil"/>
              <w:right w:val="nil"/>
            </w:tcBorders>
            <w:shd w:val="clear" w:color="auto" w:fill="auto"/>
            <w:hideMark/>
          </w:tcPr>
          <w:p w14:paraId="2A2FEA99" w14:textId="77777777" w:rsidR="00C565EF" w:rsidRPr="00C565EF" w:rsidRDefault="00C565EF" w:rsidP="00C565EF">
            <w:pPr>
              <w:rPr>
                <w:rFonts w:eastAsia="Times New Roman"/>
                <w:b/>
                <w:bCs/>
                <w:sz w:val="22"/>
                <w:szCs w:val="22"/>
                <w:lang w:eastAsia="en-GB"/>
              </w:rPr>
            </w:pPr>
          </w:p>
        </w:tc>
        <w:tc>
          <w:tcPr>
            <w:tcW w:w="236" w:type="dxa"/>
            <w:tcBorders>
              <w:top w:val="nil"/>
              <w:left w:val="nil"/>
              <w:bottom w:val="nil"/>
              <w:right w:val="nil"/>
            </w:tcBorders>
            <w:shd w:val="clear" w:color="auto" w:fill="auto"/>
            <w:hideMark/>
          </w:tcPr>
          <w:p w14:paraId="2A2FEA9A" w14:textId="77777777" w:rsidR="00C565EF" w:rsidRPr="00C565EF" w:rsidRDefault="00C565EF" w:rsidP="00C565EF">
            <w:pPr>
              <w:rPr>
                <w:rFonts w:eastAsia="Times New Roman"/>
                <w:b/>
                <w:bCs/>
                <w:sz w:val="22"/>
                <w:szCs w:val="22"/>
                <w:lang w:eastAsia="en-GB"/>
              </w:rPr>
            </w:pPr>
          </w:p>
        </w:tc>
        <w:tc>
          <w:tcPr>
            <w:tcW w:w="2790" w:type="dxa"/>
            <w:gridSpan w:val="2"/>
            <w:tcBorders>
              <w:top w:val="nil"/>
              <w:left w:val="nil"/>
              <w:bottom w:val="nil"/>
              <w:right w:val="nil"/>
            </w:tcBorders>
            <w:shd w:val="clear" w:color="auto" w:fill="auto"/>
            <w:hideMark/>
          </w:tcPr>
          <w:p w14:paraId="2A2FEA9B" w14:textId="77777777" w:rsidR="00C565EF" w:rsidRPr="00C565EF" w:rsidRDefault="00C565EF" w:rsidP="00C565EF">
            <w:pPr>
              <w:rPr>
                <w:rFonts w:eastAsia="Times New Roman"/>
                <w:b/>
                <w:bCs/>
                <w:sz w:val="22"/>
                <w:szCs w:val="22"/>
                <w:lang w:eastAsia="en-GB"/>
              </w:rPr>
            </w:pPr>
          </w:p>
        </w:tc>
      </w:tr>
      <w:tr w:rsidR="00C565EF" w:rsidRPr="00C565EF" w14:paraId="2A2FEAA2" w14:textId="77777777" w:rsidTr="00C565EF">
        <w:trPr>
          <w:trHeight w:val="300"/>
        </w:trPr>
        <w:tc>
          <w:tcPr>
            <w:tcW w:w="6880" w:type="dxa"/>
            <w:gridSpan w:val="4"/>
            <w:tcBorders>
              <w:top w:val="nil"/>
              <w:left w:val="nil"/>
              <w:bottom w:val="nil"/>
              <w:right w:val="nil"/>
            </w:tcBorders>
            <w:shd w:val="clear" w:color="auto" w:fill="auto"/>
            <w:noWrap/>
            <w:hideMark/>
          </w:tcPr>
          <w:p w14:paraId="2A2FEA9D"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t>SSDT</w:t>
            </w:r>
            <w:r w:rsidRPr="00C565EF">
              <w:rPr>
                <w:rFonts w:eastAsia="Times New Roman"/>
                <w:sz w:val="22"/>
                <w:szCs w:val="22"/>
                <w:lang w:eastAsia="en-GB"/>
              </w:rPr>
              <w:t xml:space="preserve"> Scottish Solicitors Discipline Tribunal</w:t>
            </w:r>
          </w:p>
        </w:tc>
        <w:tc>
          <w:tcPr>
            <w:tcW w:w="4050" w:type="dxa"/>
            <w:gridSpan w:val="3"/>
            <w:tcBorders>
              <w:top w:val="nil"/>
              <w:left w:val="nil"/>
              <w:bottom w:val="nil"/>
              <w:right w:val="nil"/>
            </w:tcBorders>
            <w:shd w:val="clear" w:color="auto" w:fill="auto"/>
            <w:hideMark/>
          </w:tcPr>
          <w:p w14:paraId="2A2FEA9E" w14:textId="77777777" w:rsidR="00C565EF" w:rsidRPr="00C565EF" w:rsidRDefault="00C565EF" w:rsidP="00C565EF">
            <w:pPr>
              <w:rPr>
                <w:rFonts w:eastAsia="Times New Roman"/>
                <w:sz w:val="22"/>
                <w:szCs w:val="22"/>
                <w:lang w:eastAsia="en-GB"/>
              </w:rPr>
            </w:pPr>
          </w:p>
        </w:tc>
        <w:tc>
          <w:tcPr>
            <w:tcW w:w="3440" w:type="dxa"/>
            <w:gridSpan w:val="3"/>
            <w:tcBorders>
              <w:top w:val="nil"/>
              <w:left w:val="nil"/>
              <w:bottom w:val="nil"/>
              <w:right w:val="nil"/>
            </w:tcBorders>
            <w:shd w:val="clear" w:color="auto" w:fill="auto"/>
            <w:hideMark/>
          </w:tcPr>
          <w:p w14:paraId="2A2FEA9F"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A0"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A1" w14:textId="77777777" w:rsidR="00C565EF" w:rsidRPr="00C565EF" w:rsidRDefault="00C565EF" w:rsidP="00C565EF">
            <w:pPr>
              <w:rPr>
                <w:rFonts w:eastAsia="Times New Roman"/>
                <w:sz w:val="22"/>
                <w:szCs w:val="22"/>
                <w:lang w:eastAsia="en-GB"/>
              </w:rPr>
            </w:pPr>
          </w:p>
        </w:tc>
      </w:tr>
      <w:tr w:rsidR="00C565EF" w:rsidRPr="00C565EF" w14:paraId="2A2FEAA6" w14:textId="77777777" w:rsidTr="00C565EF">
        <w:trPr>
          <w:trHeight w:val="300"/>
        </w:trPr>
        <w:tc>
          <w:tcPr>
            <w:tcW w:w="14370" w:type="dxa"/>
            <w:gridSpan w:val="10"/>
            <w:tcBorders>
              <w:top w:val="nil"/>
              <w:left w:val="nil"/>
              <w:bottom w:val="nil"/>
              <w:right w:val="nil"/>
            </w:tcBorders>
            <w:shd w:val="clear" w:color="auto" w:fill="auto"/>
            <w:noWrap/>
            <w:hideMark/>
          </w:tcPr>
          <w:p w14:paraId="2A2FEAA3" w14:textId="77777777" w:rsidR="00C565EF" w:rsidRPr="00C565EF" w:rsidRDefault="00C565EF" w:rsidP="00C565EF">
            <w:pPr>
              <w:rPr>
                <w:rFonts w:eastAsia="Times New Roman"/>
                <w:sz w:val="22"/>
                <w:szCs w:val="22"/>
                <w:lang w:eastAsia="en-GB"/>
              </w:rPr>
            </w:pPr>
            <w:proofErr w:type="gramStart"/>
            <w:r w:rsidRPr="00C565EF">
              <w:rPr>
                <w:rFonts w:eastAsia="Times New Roman"/>
                <w:b/>
                <w:bCs/>
                <w:sz w:val="22"/>
                <w:szCs w:val="22"/>
                <w:lang w:eastAsia="en-GB"/>
              </w:rPr>
              <w:t xml:space="preserve">Suppliers </w:t>
            </w:r>
            <w:r w:rsidRPr="00C565EF">
              <w:rPr>
                <w:rFonts w:eastAsia="Times New Roman"/>
                <w:sz w:val="22"/>
                <w:szCs w:val="22"/>
                <w:lang w:eastAsia="en-GB"/>
              </w:rPr>
              <w:t xml:space="preserve"> includes</w:t>
            </w:r>
            <w:proofErr w:type="gramEnd"/>
            <w:r w:rsidRPr="00C565EF">
              <w:rPr>
                <w:rFonts w:eastAsia="Times New Roman"/>
                <w:sz w:val="22"/>
                <w:szCs w:val="22"/>
                <w:lang w:eastAsia="en-GB"/>
              </w:rPr>
              <w:t xml:space="preserve"> system providers, contractors, agents and others engaged to support the work of the Society.</w:t>
            </w:r>
          </w:p>
        </w:tc>
        <w:tc>
          <w:tcPr>
            <w:tcW w:w="236" w:type="dxa"/>
            <w:tcBorders>
              <w:top w:val="nil"/>
              <w:left w:val="nil"/>
              <w:bottom w:val="nil"/>
              <w:right w:val="nil"/>
            </w:tcBorders>
            <w:shd w:val="clear" w:color="auto" w:fill="auto"/>
            <w:hideMark/>
          </w:tcPr>
          <w:p w14:paraId="2A2FEAA4"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A5" w14:textId="77777777" w:rsidR="00C565EF" w:rsidRPr="00C565EF" w:rsidRDefault="00C565EF" w:rsidP="00C565EF">
            <w:pPr>
              <w:rPr>
                <w:rFonts w:eastAsia="Times New Roman"/>
                <w:sz w:val="22"/>
                <w:szCs w:val="22"/>
                <w:lang w:eastAsia="en-GB"/>
              </w:rPr>
            </w:pPr>
          </w:p>
        </w:tc>
      </w:tr>
      <w:tr w:rsidR="00C565EF" w:rsidRPr="00C565EF" w14:paraId="2A2FEAAB" w14:textId="77777777" w:rsidTr="00C565EF">
        <w:trPr>
          <w:trHeight w:val="300"/>
        </w:trPr>
        <w:tc>
          <w:tcPr>
            <w:tcW w:w="10930" w:type="dxa"/>
            <w:gridSpan w:val="7"/>
            <w:tcBorders>
              <w:top w:val="nil"/>
              <w:left w:val="nil"/>
              <w:bottom w:val="nil"/>
              <w:right w:val="nil"/>
            </w:tcBorders>
            <w:shd w:val="clear" w:color="auto" w:fill="auto"/>
            <w:noWrap/>
            <w:hideMark/>
          </w:tcPr>
          <w:p w14:paraId="2A2FEAA7" w14:textId="77777777" w:rsidR="00C565EF" w:rsidRPr="00C565EF" w:rsidRDefault="00C565EF" w:rsidP="00C565EF">
            <w:pPr>
              <w:rPr>
                <w:rFonts w:eastAsia="Times New Roman"/>
                <w:sz w:val="22"/>
                <w:szCs w:val="22"/>
                <w:lang w:eastAsia="en-GB"/>
              </w:rPr>
            </w:pPr>
            <w:r w:rsidRPr="00C565EF">
              <w:rPr>
                <w:rFonts w:eastAsia="Times New Roman"/>
                <w:b/>
                <w:bCs/>
                <w:sz w:val="22"/>
                <w:szCs w:val="22"/>
                <w:lang w:eastAsia="en-GB"/>
              </w:rPr>
              <w:lastRenderedPageBreak/>
              <w:t>Time limits for retention</w:t>
            </w:r>
            <w:r w:rsidRPr="00C565EF">
              <w:rPr>
                <w:rFonts w:eastAsia="Times New Roman"/>
                <w:sz w:val="22"/>
                <w:szCs w:val="22"/>
                <w:lang w:eastAsia="en-GB"/>
              </w:rPr>
              <w:t xml:space="preserve"> the Society aim to destroy material within 12 months of target retention periods</w:t>
            </w:r>
          </w:p>
        </w:tc>
        <w:tc>
          <w:tcPr>
            <w:tcW w:w="3440" w:type="dxa"/>
            <w:gridSpan w:val="3"/>
            <w:tcBorders>
              <w:top w:val="nil"/>
              <w:left w:val="nil"/>
              <w:bottom w:val="nil"/>
              <w:right w:val="nil"/>
            </w:tcBorders>
            <w:shd w:val="clear" w:color="auto" w:fill="auto"/>
            <w:hideMark/>
          </w:tcPr>
          <w:p w14:paraId="2A2FEAA8"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A9"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AA" w14:textId="77777777" w:rsidR="00C565EF" w:rsidRPr="00C565EF" w:rsidRDefault="00C565EF" w:rsidP="00C565EF">
            <w:pPr>
              <w:rPr>
                <w:rFonts w:eastAsia="Times New Roman"/>
                <w:sz w:val="22"/>
                <w:szCs w:val="22"/>
                <w:lang w:eastAsia="en-GB"/>
              </w:rPr>
            </w:pPr>
          </w:p>
        </w:tc>
      </w:tr>
      <w:tr w:rsidR="00C565EF" w:rsidRPr="00C565EF" w14:paraId="2A2FEAB2" w14:textId="77777777" w:rsidTr="00C565EF">
        <w:trPr>
          <w:trHeight w:val="300"/>
        </w:trPr>
        <w:tc>
          <w:tcPr>
            <w:tcW w:w="3440" w:type="dxa"/>
            <w:gridSpan w:val="2"/>
            <w:tcBorders>
              <w:top w:val="nil"/>
              <w:left w:val="nil"/>
              <w:bottom w:val="nil"/>
              <w:right w:val="nil"/>
            </w:tcBorders>
            <w:shd w:val="clear" w:color="auto" w:fill="auto"/>
            <w:noWrap/>
            <w:hideMark/>
          </w:tcPr>
          <w:p w14:paraId="2A2FEAAC" w14:textId="77777777" w:rsidR="00C565EF" w:rsidRPr="00C565EF" w:rsidRDefault="00C565EF" w:rsidP="00C565EF">
            <w:pPr>
              <w:rPr>
                <w:rFonts w:eastAsia="Times New Roman"/>
                <w:b/>
                <w:bCs/>
                <w:sz w:val="22"/>
                <w:szCs w:val="22"/>
                <w:lang w:eastAsia="en-GB"/>
              </w:rPr>
            </w:pPr>
            <w:r w:rsidRPr="00C565EF">
              <w:rPr>
                <w:rFonts w:eastAsia="Times New Roman"/>
                <w:b/>
                <w:bCs/>
                <w:sz w:val="22"/>
                <w:szCs w:val="22"/>
                <w:lang w:eastAsia="en-GB"/>
              </w:rPr>
              <w:t>Lawful basis for Processing</w:t>
            </w:r>
          </w:p>
        </w:tc>
        <w:tc>
          <w:tcPr>
            <w:tcW w:w="3440" w:type="dxa"/>
            <w:gridSpan w:val="2"/>
            <w:tcBorders>
              <w:top w:val="nil"/>
              <w:left w:val="nil"/>
              <w:bottom w:val="nil"/>
              <w:right w:val="nil"/>
            </w:tcBorders>
            <w:shd w:val="clear" w:color="auto" w:fill="auto"/>
            <w:noWrap/>
            <w:hideMark/>
          </w:tcPr>
          <w:p w14:paraId="2A2FEAAD" w14:textId="77777777" w:rsidR="00C565EF" w:rsidRPr="00C565EF" w:rsidRDefault="00C565EF" w:rsidP="00C565EF">
            <w:pPr>
              <w:rPr>
                <w:rFonts w:eastAsia="Times New Roman"/>
                <w:b/>
                <w:bCs/>
                <w:sz w:val="22"/>
                <w:szCs w:val="22"/>
                <w:lang w:eastAsia="en-GB"/>
              </w:rPr>
            </w:pPr>
          </w:p>
        </w:tc>
        <w:tc>
          <w:tcPr>
            <w:tcW w:w="4050" w:type="dxa"/>
            <w:gridSpan w:val="3"/>
            <w:tcBorders>
              <w:top w:val="nil"/>
              <w:left w:val="nil"/>
              <w:bottom w:val="nil"/>
              <w:right w:val="nil"/>
            </w:tcBorders>
            <w:shd w:val="clear" w:color="auto" w:fill="auto"/>
            <w:hideMark/>
          </w:tcPr>
          <w:p w14:paraId="2A2FEAAE" w14:textId="77777777" w:rsidR="00C565EF" w:rsidRPr="00C565EF" w:rsidRDefault="00C565EF" w:rsidP="00C565EF">
            <w:pPr>
              <w:rPr>
                <w:rFonts w:eastAsia="Times New Roman"/>
                <w:sz w:val="22"/>
                <w:szCs w:val="22"/>
                <w:lang w:eastAsia="en-GB"/>
              </w:rPr>
            </w:pPr>
          </w:p>
        </w:tc>
        <w:tc>
          <w:tcPr>
            <w:tcW w:w="3440" w:type="dxa"/>
            <w:gridSpan w:val="3"/>
            <w:tcBorders>
              <w:top w:val="nil"/>
              <w:left w:val="nil"/>
              <w:bottom w:val="nil"/>
              <w:right w:val="nil"/>
            </w:tcBorders>
            <w:shd w:val="clear" w:color="auto" w:fill="auto"/>
            <w:hideMark/>
          </w:tcPr>
          <w:p w14:paraId="2A2FEAAF" w14:textId="77777777" w:rsidR="00C565EF" w:rsidRPr="00C565EF" w:rsidRDefault="00C565EF" w:rsidP="00C565EF">
            <w:pPr>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B0"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B1" w14:textId="77777777" w:rsidR="00C565EF" w:rsidRPr="00C565EF" w:rsidRDefault="00C565EF" w:rsidP="00C565EF">
            <w:pPr>
              <w:rPr>
                <w:rFonts w:eastAsia="Times New Roman"/>
                <w:sz w:val="22"/>
                <w:szCs w:val="22"/>
                <w:lang w:eastAsia="en-GB"/>
              </w:rPr>
            </w:pPr>
          </w:p>
        </w:tc>
      </w:tr>
      <w:tr w:rsidR="00C565EF" w:rsidRPr="00C565EF" w14:paraId="2A2FEAB6" w14:textId="77777777" w:rsidTr="00C565EF">
        <w:trPr>
          <w:trHeight w:val="300"/>
        </w:trPr>
        <w:tc>
          <w:tcPr>
            <w:tcW w:w="14370" w:type="dxa"/>
            <w:gridSpan w:val="10"/>
            <w:tcBorders>
              <w:top w:val="nil"/>
              <w:left w:val="nil"/>
              <w:bottom w:val="nil"/>
              <w:right w:val="nil"/>
            </w:tcBorders>
            <w:shd w:val="clear" w:color="auto" w:fill="auto"/>
            <w:noWrap/>
            <w:vAlign w:val="center"/>
            <w:hideMark/>
          </w:tcPr>
          <w:p w14:paraId="2A2FEAB3" w14:textId="77777777" w:rsidR="00C565EF" w:rsidRPr="00C565EF" w:rsidRDefault="00C565EF" w:rsidP="001026FD">
            <w:pPr>
              <w:tabs>
                <w:tab w:val="left" w:pos="447"/>
              </w:tabs>
              <w:ind w:firstLineChars="200" w:firstLine="442"/>
              <w:rPr>
                <w:rFonts w:eastAsia="Times New Roman"/>
                <w:b/>
                <w:bCs/>
                <w:sz w:val="22"/>
                <w:szCs w:val="22"/>
                <w:lang w:eastAsia="en-GB"/>
              </w:rPr>
            </w:pPr>
            <w:r w:rsidRPr="00C565EF">
              <w:rPr>
                <w:rFonts w:eastAsia="Times New Roman"/>
                <w:b/>
                <w:bCs/>
                <w:sz w:val="22"/>
                <w:szCs w:val="22"/>
                <w:lang w:eastAsia="en-GB"/>
              </w:rPr>
              <w:t xml:space="preserve">Consent: </w:t>
            </w:r>
            <w:r w:rsidRPr="00C565EF">
              <w:rPr>
                <w:rFonts w:eastAsia="Times New Roman"/>
                <w:sz w:val="22"/>
                <w:szCs w:val="22"/>
                <w:lang w:eastAsia="en-GB"/>
              </w:rPr>
              <w:t>the individual has given clear and informed consent for the Society to process their personal data for a specific purpose.</w:t>
            </w:r>
          </w:p>
        </w:tc>
        <w:tc>
          <w:tcPr>
            <w:tcW w:w="236" w:type="dxa"/>
            <w:tcBorders>
              <w:top w:val="nil"/>
              <w:left w:val="nil"/>
              <w:bottom w:val="nil"/>
              <w:right w:val="nil"/>
            </w:tcBorders>
            <w:shd w:val="clear" w:color="auto" w:fill="auto"/>
            <w:hideMark/>
          </w:tcPr>
          <w:p w14:paraId="2A2FEAB4"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B5" w14:textId="77777777" w:rsidR="00C565EF" w:rsidRPr="00C565EF" w:rsidRDefault="00C565EF" w:rsidP="00C565EF">
            <w:pPr>
              <w:rPr>
                <w:rFonts w:eastAsia="Times New Roman"/>
                <w:sz w:val="22"/>
                <w:szCs w:val="22"/>
                <w:lang w:eastAsia="en-GB"/>
              </w:rPr>
            </w:pPr>
          </w:p>
        </w:tc>
      </w:tr>
      <w:tr w:rsidR="00C565EF" w:rsidRPr="00C565EF" w14:paraId="2A2FEAB9" w14:textId="77777777" w:rsidTr="00C565EF">
        <w:trPr>
          <w:gridAfter w:val="1"/>
          <w:wAfter w:w="1181" w:type="dxa"/>
          <w:trHeight w:val="300"/>
        </w:trPr>
        <w:tc>
          <w:tcPr>
            <w:tcW w:w="13425" w:type="dxa"/>
            <w:gridSpan w:val="9"/>
            <w:tcBorders>
              <w:top w:val="nil"/>
              <w:left w:val="nil"/>
              <w:bottom w:val="nil"/>
              <w:right w:val="nil"/>
            </w:tcBorders>
            <w:shd w:val="clear" w:color="auto" w:fill="auto"/>
            <w:noWrap/>
            <w:vAlign w:val="center"/>
            <w:hideMark/>
          </w:tcPr>
          <w:p w14:paraId="2A2FEAB7" w14:textId="77777777" w:rsidR="00C565EF" w:rsidRPr="00C565EF" w:rsidRDefault="00C565EF" w:rsidP="001026FD">
            <w:pPr>
              <w:tabs>
                <w:tab w:val="left" w:pos="447"/>
              </w:tabs>
              <w:ind w:firstLineChars="200" w:firstLine="442"/>
              <w:rPr>
                <w:rFonts w:eastAsia="Times New Roman"/>
                <w:b/>
                <w:bCs/>
                <w:sz w:val="22"/>
                <w:szCs w:val="22"/>
                <w:lang w:eastAsia="en-GB"/>
              </w:rPr>
            </w:pPr>
            <w:r w:rsidRPr="00C565EF">
              <w:rPr>
                <w:rFonts w:eastAsia="Times New Roman"/>
                <w:b/>
                <w:bCs/>
                <w:sz w:val="22"/>
                <w:szCs w:val="22"/>
                <w:lang w:eastAsia="en-GB"/>
              </w:rPr>
              <w:t xml:space="preserve">Contract: </w:t>
            </w:r>
            <w:r w:rsidRPr="00C565EF">
              <w:rPr>
                <w:rFonts w:eastAsia="Times New Roman"/>
                <w:sz w:val="22"/>
                <w:szCs w:val="22"/>
                <w:lang w:eastAsia="en-GB"/>
              </w:rPr>
              <w:t xml:space="preserve">the processing is necessary for a contract the Society has with the individual, or because they have asked the Society to </w:t>
            </w:r>
            <w:r w:rsidR="001026FD">
              <w:rPr>
                <w:rFonts w:eastAsia="Times New Roman"/>
                <w:sz w:val="22"/>
                <w:szCs w:val="22"/>
                <w:lang w:eastAsia="en-GB"/>
              </w:rPr>
              <w:tab/>
            </w:r>
            <w:r w:rsidRPr="00C565EF">
              <w:rPr>
                <w:rFonts w:eastAsia="Times New Roman"/>
                <w:sz w:val="22"/>
                <w:szCs w:val="22"/>
                <w:lang w:eastAsia="en-GB"/>
              </w:rPr>
              <w:t xml:space="preserve">take specific steps before </w:t>
            </w:r>
            <w:proofErr w:type="gramStart"/>
            <w:r w:rsidRPr="00C565EF">
              <w:rPr>
                <w:rFonts w:eastAsia="Times New Roman"/>
                <w:sz w:val="22"/>
                <w:szCs w:val="22"/>
                <w:lang w:eastAsia="en-GB"/>
              </w:rPr>
              <w:t>entering into</w:t>
            </w:r>
            <w:proofErr w:type="gramEnd"/>
            <w:r w:rsidRPr="00C565EF">
              <w:rPr>
                <w:rFonts w:eastAsia="Times New Roman"/>
                <w:sz w:val="22"/>
                <w:szCs w:val="22"/>
                <w:lang w:eastAsia="en-GB"/>
              </w:rPr>
              <w:t xml:space="preserve"> a contract.</w:t>
            </w:r>
          </w:p>
        </w:tc>
        <w:tc>
          <w:tcPr>
            <w:tcW w:w="2790" w:type="dxa"/>
            <w:gridSpan w:val="3"/>
            <w:tcBorders>
              <w:top w:val="nil"/>
              <w:left w:val="nil"/>
              <w:bottom w:val="nil"/>
              <w:right w:val="nil"/>
            </w:tcBorders>
            <w:shd w:val="clear" w:color="auto" w:fill="auto"/>
            <w:hideMark/>
          </w:tcPr>
          <w:p w14:paraId="2A2FEAB8" w14:textId="77777777" w:rsidR="00C565EF" w:rsidRPr="00C565EF" w:rsidRDefault="00C565EF" w:rsidP="00C565EF">
            <w:pPr>
              <w:rPr>
                <w:rFonts w:eastAsia="Times New Roman"/>
                <w:sz w:val="22"/>
                <w:szCs w:val="22"/>
                <w:lang w:eastAsia="en-GB"/>
              </w:rPr>
            </w:pPr>
          </w:p>
        </w:tc>
      </w:tr>
      <w:tr w:rsidR="00C565EF" w:rsidRPr="00C565EF" w14:paraId="2A2FEABD" w14:textId="77777777" w:rsidTr="00C565EF">
        <w:trPr>
          <w:trHeight w:val="300"/>
        </w:trPr>
        <w:tc>
          <w:tcPr>
            <w:tcW w:w="14370" w:type="dxa"/>
            <w:gridSpan w:val="10"/>
            <w:tcBorders>
              <w:top w:val="nil"/>
              <w:left w:val="nil"/>
              <w:bottom w:val="nil"/>
              <w:right w:val="nil"/>
            </w:tcBorders>
            <w:shd w:val="clear" w:color="auto" w:fill="auto"/>
            <w:noWrap/>
            <w:vAlign w:val="center"/>
            <w:hideMark/>
          </w:tcPr>
          <w:p w14:paraId="2A2FEABA" w14:textId="77777777" w:rsidR="00C565EF" w:rsidRPr="00C565EF" w:rsidRDefault="00C565EF" w:rsidP="001026FD">
            <w:pPr>
              <w:tabs>
                <w:tab w:val="left" w:pos="447"/>
              </w:tabs>
              <w:ind w:firstLineChars="200" w:firstLine="442"/>
              <w:rPr>
                <w:rFonts w:eastAsia="Times New Roman"/>
                <w:b/>
                <w:bCs/>
                <w:sz w:val="22"/>
                <w:szCs w:val="22"/>
                <w:lang w:eastAsia="en-GB"/>
              </w:rPr>
            </w:pPr>
            <w:r w:rsidRPr="00C565EF">
              <w:rPr>
                <w:rFonts w:eastAsia="Times New Roman"/>
                <w:b/>
                <w:bCs/>
                <w:sz w:val="22"/>
                <w:szCs w:val="22"/>
                <w:lang w:eastAsia="en-GB"/>
              </w:rPr>
              <w:t xml:space="preserve">Legal obligation: </w:t>
            </w:r>
            <w:r w:rsidRPr="00C565EF">
              <w:rPr>
                <w:rFonts w:eastAsia="Times New Roman"/>
                <w:sz w:val="22"/>
                <w:szCs w:val="22"/>
                <w:lang w:eastAsia="en-GB"/>
              </w:rPr>
              <w:t>the processing is necessary for the Society to comply with the law (not including contractual obligations).</w:t>
            </w:r>
          </w:p>
        </w:tc>
        <w:tc>
          <w:tcPr>
            <w:tcW w:w="236" w:type="dxa"/>
            <w:tcBorders>
              <w:top w:val="nil"/>
              <w:left w:val="nil"/>
              <w:bottom w:val="nil"/>
              <w:right w:val="nil"/>
            </w:tcBorders>
            <w:shd w:val="clear" w:color="auto" w:fill="auto"/>
            <w:hideMark/>
          </w:tcPr>
          <w:p w14:paraId="2A2FEABB"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BC" w14:textId="77777777" w:rsidR="00C565EF" w:rsidRPr="00C565EF" w:rsidRDefault="00C565EF" w:rsidP="00C565EF">
            <w:pPr>
              <w:rPr>
                <w:rFonts w:eastAsia="Times New Roman"/>
                <w:sz w:val="22"/>
                <w:szCs w:val="22"/>
                <w:lang w:eastAsia="en-GB"/>
              </w:rPr>
            </w:pPr>
          </w:p>
        </w:tc>
      </w:tr>
      <w:tr w:rsidR="00C565EF" w:rsidRPr="00C565EF" w14:paraId="2A2FEAC2" w14:textId="77777777" w:rsidTr="00C565EF">
        <w:trPr>
          <w:trHeight w:val="300"/>
        </w:trPr>
        <w:tc>
          <w:tcPr>
            <w:tcW w:w="10930" w:type="dxa"/>
            <w:gridSpan w:val="7"/>
            <w:tcBorders>
              <w:top w:val="nil"/>
              <w:left w:val="nil"/>
              <w:bottom w:val="nil"/>
              <w:right w:val="nil"/>
            </w:tcBorders>
            <w:shd w:val="clear" w:color="auto" w:fill="auto"/>
            <w:noWrap/>
            <w:vAlign w:val="center"/>
            <w:hideMark/>
          </w:tcPr>
          <w:p w14:paraId="2A2FEABE" w14:textId="77777777" w:rsidR="00C565EF" w:rsidRPr="00C565EF" w:rsidRDefault="00C565EF" w:rsidP="001026FD">
            <w:pPr>
              <w:tabs>
                <w:tab w:val="left" w:pos="447"/>
              </w:tabs>
              <w:ind w:firstLineChars="200" w:firstLine="442"/>
              <w:rPr>
                <w:rFonts w:eastAsia="Times New Roman"/>
                <w:b/>
                <w:bCs/>
                <w:sz w:val="22"/>
                <w:szCs w:val="22"/>
                <w:lang w:eastAsia="en-GB"/>
              </w:rPr>
            </w:pPr>
            <w:r w:rsidRPr="00C565EF">
              <w:rPr>
                <w:rFonts w:eastAsia="Times New Roman"/>
                <w:b/>
                <w:bCs/>
                <w:sz w:val="22"/>
                <w:szCs w:val="22"/>
                <w:lang w:eastAsia="en-GB"/>
              </w:rPr>
              <w:t xml:space="preserve">Vital interests: </w:t>
            </w:r>
            <w:r w:rsidRPr="00C565EF">
              <w:rPr>
                <w:rFonts w:eastAsia="Times New Roman"/>
                <w:sz w:val="22"/>
                <w:szCs w:val="22"/>
                <w:lang w:eastAsia="en-GB"/>
              </w:rPr>
              <w:t>the processing is necessary to protect someone’s life.</w:t>
            </w:r>
          </w:p>
        </w:tc>
        <w:tc>
          <w:tcPr>
            <w:tcW w:w="3440" w:type="dxa"/>
            <w:gridSpan w:val="3"/>
            <w:tcBorders>
              <w:top w:val="nil"/>
              <w:left w:val="nil"/>
              <w:bottom w:val="nil"/>
              <w:right w:val="nil"/>
            </w:tcBorders>
            <w:shd w:val="clear" w:color="auto" w:fill="auto"/>
            <w:hideMark/>
          </w:tcPr>
          <w:p w14:paraId="2A2FEABF" w14:textId="77777777" w:rsidR="00C565EF" w:rsidRPr="00C565EF" w:rsidRDefault="00C565EF" w:rsidP="001026FD">
            <w:pPr>
              <w:tabs>
                <w:tab w:val="left" w:pos="447"/>
              </w:tabs>
              <w:rPr>
                <w:rFonts w:eastAsia="Times New Roman"/>
                <w:sz w:val="22"/>
                <w:szCs w:val="22"/>
                <w:lang w:eastAsia="en-GB"/>
              </w:rPr>
            </w:pPr>
          </w:p>
        </w:tc>
        <w:tc>
          <w:tcPr>
            <w:tcW w:w="236" w:type="dxa"/>
            <w:tcBorders>
              <w:top w:val="nil"/>
              <w:left w:val="nil"/>
              <w:bottom w:val="nil"/>
              <w:right w:val="nil"/>
            </w:tcBorders>
            <w:shd w:val="clear" w:color="auto" w:fill="auto"/>
            <w:hideMark/>
          </w:tcPr>
          <w:p w14:paraId="2A2FEAC0"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C1" w14:textId="77777777" w:rsidR="00C565EF" w:rsidRPr="00C565EF" w:rsidRDefault="00C565EF" w:rsidP="00C565EF">
            <w:pPr>
              <w:rPr>
                <w:rFonts w:eastAsia="Times New Roman"/>
                <w:sz w:val="22"/>
                <w:szCs w:val="22"/>
                <w:lang w:eastAsia="en-GB"/>
              </w:rPr>
            </w:pPr>
          </w:p>
        </w:tc>
      </w:tr>
      <w:tr w:rsidR="00C565EF" w:rsidRPr="00C565EF" w14:paraId="2A2FEAC5" w14:textId="77777777" w:rsidTr="00C565EF">
        <w:trPr>
          <w:gridAfter w:val="1"/>
          <w:wAfter w:w="1181" w:type="dxa"/>
          <w:trHeight w:val="300"/>
        </w:trPr>
        <w:tc>
          <w:tcPr>
            <w:tcW w:w="13425" w:type="dxa"/>
            <w:gridSpan w:val="9"/>
            <w:tcBorders>
              <w:top w:val="nil"/>
              <w:left w:val="nil"/>
              <w:bottom w:val="nil"/>
              <w:right w:val="nil"/>
            </w:tcBorders>
            <w:shd w:val="clear" w:color="auto" w:fill="auto"/>
            <w:noWrap/>
            <w:vAlign w:val="center"/>
            <w:hideMark/>
          </w:tcPr>
          <w:p w14:paraId="2A2FEAC3" w14:textId="77777777" w:rsidR="00C565EF" w:rsidRPr="00C565EF" w:rsidRDefault="00C565EF" w:rsidP="001026FD">
            <w:pPr>
              <w:tabs>
                <w:tab w:val="left" w:pos="447"/>
              </w:tabs>
              <w:ind w:firstLineChars="200" w:firstLine="442"/>
              <w:rPr>
                <w:rFonts w:eastAsia="Times New Roman"/>
                <w:b/>
                <w:bCs/>
                <w:sz w:val="22"/>
                <w:szCs w:val="22"/>
                <w:lang w:eastAsia="en-GB"/>
              </w:rPr>
            </w:pPr>
            <w:r w:rsidRPr="00C565EF">
              <w:rPr>
                <w:rFonts w:eastAsia="Times New Roman"/>
                <w:b/>
                <w:bCs/>
                <w:sz w:val="22"/>
                <w:szCs w:val="22"/>
                <w:lang w:eastAsia="en-GB"/>
              </w:rPr>
              <w:t xml:space="preserve">Public task: </w:t>
            </w:r>
            <w:r w:rsidRPr="00C565EF">
              <w:rPr>
                <w:rFonts w:eastAsia="Times New Roman"/>
                <w:sz w:val="22"/>
                <w:szCs w:val="22"/>
                <w:lang w:eastAsia="en-GB"/>
              </w:rPr>
              <w:t xml:space="preserve">the processing is necessary for the Society to perform a task in the public interest or for its official functions, and the </w:t>
            </w:r>
            <w:r w:rsidR="001026FD">
              <w:rPr>
                <w:rFonts w:eastAsia="Times New Roman"/>
                <w:sz w:val="22"/>
                <w:szCs w:val="22"/>
                <w:lang w:eastAsia="en-GB"/>
              </w:rPr>
              <w:tab/>
            </w:r>
            <w:r w:rsidRPr="00C565EF">
              <w:rPr>
                <w:rFonts w:eastAsia="Times New Roman"/>
                <w:sz w:val="22"/>
                <w:szCs w:val="22"/>
                <w:lang w:eastAsia="en-GB"/>
              </w:rPr>
              <w:t>task or function has a clear basis in law.</w:t>
            </w:r>
          </w:p>
        </w:tc>
        <w:tc>
          <w:tcPr>
            <w:tcW w:w="2790" w:type="dxa"/>
            <w:gridSpan w:val="3"/>
            <w:tcBorders>
              <w:top w:val="nil"/>
              <w:left w:val="nil"/>
              <w:bottom w:val="nil"/>
              <w:right w:val="nil"/>
            </w:tcBorders>
            <w:shd w:val="clear" w:color="auto" w:fill="auto"/>
            <w:hideMark/>
          </w:tcPr>
          <w:p w14:paraId="2A2FEAC4" w14:textId="77777777" w:rsidR="00C565EF" w:rsidRPr="00C565EF" w:rsidRDefault="00C565EF" w:rsidP="00C565EF">
            <w:pPr>
              <w:rPr>
                <w:rFonts w:eastAsia="Times New Roman"/>
                <w:sz w:val="22"/>
                <w:szCs w:val="22"/>
                <w:lang w:eastAsia="en-GB"/>
              </w:rPr>
            </w:pPr>
          </w:p>
        </w:tc>
      </w:tr>
      <w:tr w:rsidR="00C565EF" w:rsidRPr="00C565EF" w14:paraId="2A2FEAC8" w14:textId="77777777" w:rsidTr="00C565EF">
        <w:trPr>
          <w:gridAfter w:val="1"/>
          <w:wAfter w:w="1181" w:type="dxa"/>
          <w:trHeight w:val="675"/>
        </w:trPr>
        <w:tc>
          <w:tcPr>
            <w:tcW w:w="13425" w:type="dxa"/>
            <w:gridSpan w:val="9"/>
            <w:tcBorders>
              <w:top w:val="nil"/>
              <w:left w:val="nil"/>
              <w:bottom w:val="nil"/>
              <w:right w:val="nil"/>
            </w:tcBorders>
            <w:shd w:val="clear" w:color="auto" w:fill="auto"/>
            <w:hideMark/>
          </w:tcPr>
          <w:p w14:paraId="2A2FEAC6" w14:textId="77777777" w:rsidR="00C565EF" w:rsidRPr="00C565EF" w:rsidRDefault="00C565EF" w:rsidP="001026FD">
            <w:pPr>
              <w:tabs>
                <w:tab w:val="left" w:pos="447"/>
              </w:tabs>
              <w:ind w:firstLineChars="200" w:firstLine="442"/>
              <w:rPr>
                <w:rFonts w:eastAsia="Times New Roman"/>
                <w:b/>
                <w:bCs/>
                <w:sz w:val="22"/>
                <w:szCs w:val="22"/>
                <w:lang w:eastAsia="en-GB"/>
              </w:rPr>
            </w:pPr>
            <w:r w:rsidRPr="00C565EF">
              <w:rPr>
                <w:rFonts w:eastAsia="Times New Roman"/>
                <w:b/>
                <w:bCs/>
                <w:sz w:val="22"/>
                <w:szCs w:val="22"/>
                <w:lang w:eastAsia="en-GB"/>
              </w:rPr>
              <w:t xml:space="preserve">Legitimate interests: </w:t>
            </w:r>
            <w:r w:rsidRPr="00C565EF">
              <w:rPr>
                <w:rFonts w:eastAsia="Times New Roman"/>
                <w:sz w:val="22"/>
                <w:szCs w:val="22"/>
                <w:lang w:eastAsia="en-GB"/>
              </w:rPr>
              <w:t xml:space="preserve">the processing is necessary for the legitimate interests of the Society or the legitimate interests of a third </w:t>
            </w:r>
            <w:r w:rsidR="001026FD">
              <w:rPr>
                <w:rFonts w:eastAsia="Times New Roman"/>
                <w:sz w:val="22"/>
                <w:szCs w:val="22"/>
                <w:lang w:eastAsia="en-GB"/>
              </w:rPr>
              <w:tab/>
            </w:r>
            <w:r w:rsidRPr="00C565EF">
              <w:rPr>
                <w:rFonts w:eastAsia="Times New Roman"/>
                <w:sz w:val="22"/>
                <w:szCs w:val="22"/>
                <w:lang w:eastAsia="en-GB"/>
              </w:rPr>
              <w:t xml:space="preserve">party unless there is a good reason to protect the individual’s personal data which overrides those legitimate interests. </w:t>
            </w:r>
          </w:p>
        </w:tc>
        <w:tc>
          <w:tcPr>
            <w:tcW w:w="2790" w:type="dxa"/>
            <w:gridSpan w:val="3"/>
            <w:tcBorders>
              <w:top w:val="nil"/>
              <w:left w:val="nil"/>
              <w:bottom w:val="nil"/>
              <w:right w:val="nil"/>
            </w:tcBorders>
            <w:shd w:val="clear" w:color="auto" w:fill="auto"/>
            <w:hideMark/>
          </w:tcPr>
          <w:p w14:paraId="2A2FEAC7" w14:textId="77777777" w:rsidR="00C565EF" w:rsidRPr="00C565EF" w:rsidRDefault="00C565EF" w:rsidP="00C565EF">
            <w:pPr>
              <w:rPr>
                <w:rFonts w:eastAsia="Times New Roman"/>
                <w:sz w:val="22"/>
                <w:szCs w:val="22"/>
                <w:lang w:eastAsia="en-GB"/>
              </w:rPr>
            </w:pPr>
          </w:p>
        </w:tc>
      </w:tr>
      <w:tr w:rsidR="00C565EF" w:rsidRPr="00C565EF" w14:paraId="2A2FEACC" w14:textId="77777777" w:rsidTr="00C565EF">
        <w:trPr>
          <w:trHeight w:val="735"/>
        </w:trPr>
        <w:tc>
          <w:tcPr>
            <w:tcW w:w="14370" w:type="dxa"/>
            <w:gridSpan w:val="10"/>
            <w:tcBorders>
              <w:top w:val="nil"/>
              <w:left w:val="nil"/>
              <w:bottom w:val="nil"/>
              <w:right w:val="nil"/>
            </w:tcBorders>
            <w:shd w:val="clear" w:color="auto" w:fill="auto"/>
            <w:noWrap/>
            <w:hideMark/>
          </w:tcPr>
          <w:p w14:paraId="2A2FEAC9" w14:textId="77777777" w:rsidR="00C565EF" w:rsidRPr="00C565EF" w:rsidRDefault="00C565EF" w:rsidP="00C565EF">
            <w:pPr>
              <w:ind w:firstLineChars="200" w:firstLine="440"/>
              <w:rPr>
                <w:rFonts w:eastAsia="Times New Roman"/>
                <w:sz w:val="22"/>
                <w:szCs w:val="22"/>
                <w:lang w:eastAsia="en-GB"/>
              </w:rPr>
            </w:pPr>
            <w:r w:rsidRPr="00C565EF">
              <w:rPr>
                <w:rFonts w:eastAsia="Times New Roman"/>
                <w:sz w:val="22"/>
                <w:szCs w:val="22"/>
                <w:lang w:eastAsia="en-GB"/>
              </w:rPr>
              <w:t>As a Statutory body with legal and regulatory obligations much of the Society's processing relies on more than one of the above</w:t>
            </w:r>
          </w:p>
        </w:tc>
        <w:tc>
          <w:tcPr>
            <w:tcW w:w="236" w:type="dxa"/>
            <w:tcBorders>
              <w:top w:val="nil"/>
              <w:left w:val="nil"/>
              <w:bottom w:val="nil"/>
              <w:right w:val="nil"/>
            </w:tcBorders>
            <w:shd w:val="clear" w:color="auto" w:fill="auto"/>
            <w:hideMark/>
          </w:tcPr>
          <w:p w14:paraId="2A2FEACA" w14:textId="77777777" w:rsidR="00C565EF" w:rsidRPr="00C565EF" w:rsidRDefault="00C565EF" w:rsidP="00C565EF">
            <w:pPr>
              <w:ind w:firstLineChars="200" w:firstLine="442"/>
              <w:rPr>
                <w:rFonts w:eastAsia="Times New Roman"/>
                <w:b/>
                <w:bCs/>
                <w:sz w:val="22"/>
                <w:szCs w:val="22"/>
                <w:lang w:eastAsia="en-GB"/>
              </w:rPr>
            </w:pPr>
          </w:p>
        </w:tc>
        <w:tc>
          <w:tcPr>
            <w:tcW w:w="2790" w:type="dxa"/>
            <w:gridSpan w:val="2"/>
            <w:tcBorders>
              <w:top w:val="nil"/>
              <w:left w:val="nil"/>
              <w:bottom w:val="nil"/>
              <w:right w:val="nil"/>
            </w:tcBorders>
            <w:shd w:val="clear" w:color="auto" w:fill="auto"/>
            <w:hideMark/>
          </w:tcPr>
          <w:p w14:paraId="2A2FEACB" w14:textId="77777777" w:rsidR="00C565EF" w:rsidRPr="00C565EF" w:rsidRDefault="00C565EF" w:rsidP="00C565EF">
            <w:pPr>
              <w:rPr>
                <w:rFonts w:eastAsia="Times New Roman"/>
                <w:sz w:val="22"/>
                <w:szCs w:val="22"/>
                <w:lang w:eastAsia="en-GB"/>
              </w:rPr>
            </w:pPr>
          </w:p>
        </w:tc>
      </w:tr>
      <w:tr w:rsidR="00C565EF" w:rsidRPr="00C565EF" w14:paraId="2A2FEAD0" w14:textId="77777777" w:rsidTr="00C565EF">
        <w:trPr>
          <w:trHeight w:val="300"/>
        </w:trPr>
        <w:tc>
          <w:tcPr>
            <w:tcW w:w="14370" w:type="dxa"/>
            <w:gridSpan w:val="10"/>
            <w:tcBorders>
              <w:top w:val="nil"/>
              <w:left w:val="nil"/>
              <w:bottom w:val="nil"/>
              <w:right w:val="nil"/>
            </w:tcBorders>
            <w:shd w:val="clear" w:color="auto" w:fill="auto"/>
            <w:noWrap/>
            <w:vAlign w:val="center"/>
            <w:hideMark/>
          </w:tcPr>
          <w:p w14:paraId="2A2FEACD" w14:textId="77777777" w:rsidR="00C565EF" w:rsidRPr="00C565EF" w:rsidRDefault="00C565EF" w:rsidP="00C565EF">
            <w:pPr>
              <w:ind w:firstLineChars="100" w:firstLine="221"/>
              <w:rPr>
                <w:rFonts w:eastAsia="Times New Roman"/>
                <w:sz w:val="22"/>
                <w:szCs w:val="22"/>
                <w:lang w:eastAsia="en-GB"/>
              </w:rPr>
            </w:pPr>
            <w:r w:rsidRPr="00C565EF">
              <w:rPr>
                <w:rFonts w:eastAsia="Times New Roman"/>
                <w:b/>
                <w:bCs/>
                <w:sz w:val="22"/>
                <w:szCs w:val="22"/>
                <w:lang w:eastAsia="en-GB"/>
              </w:rPr>
              <w:t>More information or requests to change or delete information</w:t>
            </w:r>
            <w:r w:rsidRPr="00C565EF">
              <w:rPr>
                <w:rFonts w:eastAsia="Times New Roman"/>
                <w:sz w:val="22"/>
                <w:szCs w:val="22"/>
                <w:lang w:eastAsia="en-GB"/>
              </w:rPr>
              <w:t xml:space="preserve"> contact us at informationofficer@lawscot.org.uk</w:t>
            </w:r>
          </w:p>
        </w:tc>
        <w:tc>
          <w:tcPr>
            <w:tcW w:w="236" w:type="dxa"/>
            <w:tcBorders>
              <w:top w:val="nil"/>
              <w:left w:val="nil"/>
              <w:bottom w:val="nil"/>
              <w:right w:val="nil"/>
            </w:tcBorders>
            <w:shd w:val="clear" w:color="auto" w:fill="auto"/>
            <w:hideMark/>
          </w:tcPr>
          <w:p w14:paraId="2A2FEACE" w14:textId="77777777" w:rsidR="00C565EF" w:rsidRPr="00C565EF" w:rsidRDefault="00C565EF" w:rsidP="00C565EF">
            <w:pPr>
              <w:rPr>
                <w:rFonts w:eastAsia="Times New Roman"/>
                <w:sz w:val="22"/>
                <w:szCs w:val="22"/>
                <w:lang w:eastAsia="en-GB"/>
              </w:rPr>
            </w:pPr>
          </w:p>
        </w:tc>
        <w:tc>
          <w:tcPr>
            <w:tcW w:w="2790" w:type="dxa"/>
            <w:gridSpan w:val="2"/>
            <w:tcBorders>
              <w:top w:val="nil"/>
              <w:left w:val="nil"/>
              <w:bottom w:val="nil"/>
              <w:right w:val="nil"/>
            </w:tcBorders>
            <w:shd w:val="clear" w:color="auto" w:fill="auto"/>
            <w:hideMark/>
          </w:tcPr>
          <w:p w14:paraId="2A2FEACF" w14:textId="77777777" w:rsidR="00C565EF" w:rsidRPr="00C565EF" w:rsidRDefault="00C565EF" w:rsidP="00C565EF">
            <w:pPr>
              <w:rPr>
                <w:rFonts w:eastAsia="Times New Roman"/>
                <w:sz w:val="22"/>
                <w:szCs w:val="22"/>
                <w:lang w:eastAsia="en-GB"/>
              </w:rPr>
            </w:pPr>
          </w:p>
        </w:tc>
      </w:tr>
    </w:tbl>
    <w:p w14:paraId="2A2FEAD1" w14:textId="77777777" w:rsidR="00C071D5" w:rsidRPr="008C1FF8" w:rsidRDefault="00C071D5">
      <w:pPr>
        <w:rPr>
          <w:sz w:val="22"/>
          <w:szCs w:val="22"/>
        </w:rPr>
      </w:pPr>
    </w:p>
    <w:sectPr w:rsidR="00C071D5" w:rsidRPr="008C1FF8" w:rsidSect="008C1FF8">
      <w:pgSz w:w="16838" w:h="11906" w:orient="landscape"/>
      <w:pgMar w:top="720" w:right="432" w:bottom="720"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5EF"/>
    <w:rsid w:val="00022323"/>
    <w:rsid w:val="00040A73"/>
    <w:rsid w:val="001026FD"/>
    <w:rsid w:val="003C4BE3"/>
    <w:rsid w:val="00412800"/>
    <w:rsid w:val="005964AB"/>
    <w:rsid w:val="005F220C"/>
    <w:rsid w:val="00781893"/>
    <w:rsid w:val="00860563"/>
    <w:rsid w:val="008C1FF8"/>
    <w:rsid w:val="009463DD"/>
    <w:rsid w:val="00972B25"/>
    <w:rsid w:val="00A302D0"/>
    <w:rsid w:val="00C071D5"/>
    <w:rsid w:val="00C565EF"/>
    <w:rsid w:val="00C73090"/>
    <w:rsid w:val="00D01F81"/>
    <w:rsid w:val="00D04848"/>
    <w:rsid w:val="00E40097"/>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E98F"/>
  <w15:docId w15:val="{B7032571-3696-4ABA-8C0E-F036405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FF8"/>
    <w:rPr>
      <w:rFonts w:ascii="Tahoma" w:hAnsi="Tahoma" w:cs="Tahoma"/>
      <w:sz w:val="16"/>
      <w:szCs w:val="16"/>
    </w:rPr>
  </w:style>
  <w:style w:type="character" w:customStyle="1" w:styleId="BalloonTextChar">
    <w:name w:val="Balloon Text Char"/>
    <w:basedOn w:val="DefaultParagraphFont"/>
    <w:link w:val="BalloonText"/>
    <w:uiPriority w:val="99"/>
    <w:semiHidden/>
    <w:rsid w:val="008C1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7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m73f487bf6df40bd884c3d6035f2f3bf>
    <j51334b8464a403e8708c44b550590d2 xmlns="c580686b-3c78-40fc-8280-257271cf61a5">
      <Terms xmlns="http://schemas.microsoft.com/office/infopath/2007/PartnerControls"/>
    </j51334b8464a403e8708c44b550590d2>
    <TaxCatchAll xmlns="3595a3b4-95e1-40b3-9976-0da52ff3c1d6"/>
    <_dlc_DocId xmlns="3595a3b4-95e1-40b3-9976-0da52ff3c1d6">73WM5REP3J34-1848047781-5171</_dlc_DocId>
    <_dlc_DocIdUrl xmlns="3595a3b4-95e1-40b3-9976-0da52ff3c1d6">
      <Url>http://thehub/teams/externalrelations/Communications/_layouts/15/DocIdRedir.aspx?ID=73WM5REP3J34-1848047781-5171</Url>
      <Description>73WM5REP3J34-1848047781-5171</Description>
    </_dlc_DocIdUrl>
    <DocumentType xmlns="3595a3b4-95e1-40b3-9976-0da52ff3c1d6">Governance</DocumentType>
    <BWMembersRecord xmlns="3595a3b4-95e1-40b3-9976-0da52ff3c1d6">No</BWMembersRecord>
    <BWPersonalInfo xmlns="3595a3b4-95e1-40b3-9976-0da52ff3c1d6">No</BWPersonalInf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grated Document" ma:contentTypeID="0x010100F6C9EF00BFCE744FB82DB39B849666BF0E0044A049EB2F679A4E88A1F0AE5F9DAB17" ma:contentTypeVersion="21" ma:contentTypeDescription="Create a new document." ma:contentTypeScope="" ma:versionID="f43bf168378f9c16879712c54eee1f4d">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3b980bd4231bf804a7e514fa3956f4a3"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6A5CC-EEE0-4F6A-9BC5-602E9417DA5B}">
  <ds:schemaRefs>
    <ds:schemaRef ds:uri="http://schemas.microsoft.com/office/2006/metadata/properties"/>
    <ds:schemaRef ds:uri="http://schemas.microsoft.com/office/infopath/2007/PartnerControls"/>
    <ds:schemaRef ds:uri="c580686b-3c78-40fc-8280-257271cf61a5"/>
    <ds:schemaRef ds:uri="3595a3b4-95e1-40b3-9976-0da52ff3c1d6"/>
  </ds:schemaRefs>
</ds:datastoreItem>
</file>

<file path=customXml/itemProps2.xml><?xml version="1.0" encoding="utf-8"?>
<ds:datastoreItem xmlns:ds="http://schemas.openxmlformats.org/officeDocument/2006/customXml" ds:itemID="{EB74833A-24C3-4965-B93B-6A6B09394D2A}">
  <ds:schemaRefs>
    <ds:schemaRef ds:uri="http://schemas.microsoft.com/sharepoint/v3/contenttype/forms"/>
  </ds:schemaRefs>
</ds:datastoreItem>
</file>

<file path=customXml/itemProps3.xml><?xml version="1.0" encoding="utf-8"?>
<ds:datastoreItem xmlns:ds="http://schemas.openxmlformats.org/officeDocument/2006/customXml" ds:itemID="{B53951B4-431C-44B3-B440-EE0162744733}">
  <ds:schemaRefs>
    <ds:schemaRef ds:uri="http://schemas.microsoft.com/sharepoint/events"/>
  </ds:schemaRefs>
</ds:datastoreItem>
</file>

<file path=customXml/itemProps4.xml><?xml version="1.0" encoding="utf-8"?>
<ds:datastoreItem xmlns:ds="http://schemas.openxmlformats.org/officeDocument/2006/customXml" ds:itemID="{8A302537-08F4-4CA9-B21F-7FC62B78EF11}"/>
</file>

<file path=docProps/app.xml><?xml version="1.0" encoding="utf-8"?>
<Properties xmlns="http://schemas.openxmlformats.org/officeDocument/2006/extended-properties" xmlns:vt="http://schemas.openxmlformats.org/officeDocument/2006/docPropsVTypes">
  <Template>Normal</Template>
  <TotalTime>0</TotalTime>
  <Pages>8</Pages>
  <Words>3289</Words>
  <Characters>18752</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Nicol</dc:creator>
  <cp:lastModifiedBy>Louise Docherty</cp:lastModifiedBy>
  <cp:revision>2</cp:revision>
  <cp:lastPrinted>2018-04-17T16:04:00Z</cp:lastPrinted>
  <dcterms:created xsi:type="dcterms:W3CDTF">2021-03-31T13:53:00Z</dcterms:created>
  <dcterms:modified xsi:type="dcterms:W3CDTF">2021-03-31T13:53:00Z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0x010100F6C9EF00BFCE744FB82DB39B849666BF0E0044A049EB2F679A4E88A1F0AE5F9DAB17</vt:lpwstr>
  </property>
  <property fmtid="{D5CDD505-2E9C-101B-9397-08002B2CF9AE}" pid="3" name="_dlc_DocIdItemGuid">
    <vt:lpwstr>1ce76342-3ee2-4fc7-a952-26cd47c61f3e</vt:lpwstr>
  </property>
  <property fmtid="{D5CDD505-2E9C-101B-9397-08002B2CF9AE}" pid="4" name="Committee">
    <vt:lpwstr/>
  </property>
  <property fmtid="{D5CDD505-2E9C-101B-9397-08002B2CF9AE}" pid="5" name="Directorate">
    <vt:lpwstr/>
  </property>
</Properties>
</file>