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AEF3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7D331A25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179876" w14:textId="0E79B8FA" w:rsidR="00085F84" w:rsidRPr="0054071D" w:rsidRDefault="00085F84" w:rsidP="0054071D">
            <w:pPr>
              <w:rPr>
                <w:b/>
                <w:bCs w:val="0"/>
              </w:rPr>
            </w:pPr>
            <w:r w:rsidRPr="007F24E5">
              <w:t xml:space="preserve">Job Title </w:t>
            </w:r>
          </w:p>
        </w:tc>
        <w:tc>
          <w:tcPr>
            <w:tcW w:w="6814" w:type="dxa"/>
          </w:tcPr>
          <w:p w14:paraId="1C40CE32" w14:textId="36B31001" w:rsidR="00085F84" w:rsidRPr="008769BC" w:rsidRDefault="00EA3816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769BC">
              <w:rPr>
                <w:bCs/>
              </w:rPr>
              <w:t>Facilities Support</w:t>
            </w:r>
          </w:p>
        </w:tc>
      </w:tr>
      <w:tr w:rsidR="00085F84" w14:paraId="50F4C3C2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7EF04F" w14:textId="77777777" w:rsidR="00085F84" w:rsidRDefault="00085F84" w:rsidP="006B11EE">
            <w:r w:rsidRPr="007F24E5">
              <w:t>Team</w:t>
            </w:r>
            <w:r w:rsidR="0054071D">
              <w:t xml:space="preserve"> </w:t>
            </w:r>
            <w:r w:rsidR="0054071D" w:rsidRPr="0054071D">
              <w:rPr>
                <w:b/>
                <w:bCs w:val="0"/>
              </w:rPr>
              <w:t>Facilities</w:t>
            </w:r>
          </w:p>
        </w:tc>
        <w:tc>
          <w:tcPr>
            <w:tcW w:w="6814" w:type="dxa"/>
          </w:tcPr>
          <w:p w14:paraId="1CD5CBB6" w14:textId="7BFC1D7C" w:rsidR="00085F84" w:rsidRDefault="00EA3816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Facilities </w:t>
            </w:r>
          </w:p>
        </w:tc>
      </w:tr>
      <w:tr w:rsidR="00085F84" w14:paraId="4BDE44C8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06BD9F" w14:textId="2C35EDC2" w:rsidR="00085F84" w:rsidRDefault="00085F84" w:rsidP="006B11EE">
            <w:r w:rsidRPr="007F24E5">
              <w:t>Reporting to</w:t>
            </w:r>
            <w:r w:rsidR="0054071D">
              <w:t xml:space="preserve"> </w:t>
            </w:r>
          </w:p>
        </w:tc>
        <w:tc>
          <w:tcPr>
            <w:tcW w:w="6814" w:type="dxa"/>
          </w:tcPr>
          <w:p w14:paraId="72A555EC" w14:textId="0CC3AB56" w:rsidR="00085F84" w:rsidRPr="008769BC" w:rsidRDefault="00EA3816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769BC">
              <w:rPr>
                <w:bCs/>
              </w:rPr>
              <w:t>Facilities and Health &amp; Safety Assistant</w:t>
            </w:r>
          </w:p>
        </w:tc>
      </w:tr>
      <w:tr w:rsidR="00085F84" w14:paraId="0206D000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0184D9" w14:textId="77777777" w:rsidR="00085F84" w:rsidRDefault="00085F84" w:rsidP="006B11EE">
            <w:r w:rsidRPr="007F24E5">
              <w:t>Responsible for</w:t>
            </w:r>
            <w:r w:rsidR="0054071D">
              <w:t xml:space="preserve"> </w:t>
            </w:r>
          </w:p>
        </w:tc>
        <w:tc>
          <w:tcPr>
            <w:tcW w:w="6814" w:type="dxa"/>
          </w:tcPr>
          <w:p w14:paraId="3A524AA8" w14:textId="77777777" w:rsidR="00085F84" w:rsidRDefault="00085F84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631313A3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662F9E" w14:textId="55596001" w:rsidR="00085F84" w:rsidRDefault="00085F84" w:rsidP="006B11EE">
            <w:r>
              <w:t>Job purpose</w:t>
            </w:r>
            <w:r w:rsidR="0054071D">
              <w:t xml:space="preserve"> </w:t>
            </w:r>
          </w:p>
        </w:tc>
        <w:tc>
          <w:tcPr>
            <w:tcW w:w="6814" w:type="dxa"/>
          </w:tcPr>
          <w:p w14:paraId="1D3DB345" w14:textId="60C4DD81" w:rsidR="00085F84" w:rsidRPr="008769BC" w:rsidRDefault="008769BC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769BC">
              <w:rPr>
                <w:bCs/>
              </w:rPr>
              <w:t>The purpose of this role is to support the Facilities Team in maintaining a smooth day-to-day running of the office, while assisting with the compliance, operational, and administrative needs of the department.</w:t>
            </w:r>
          </w:p>
        </w:tc>
      </w:tr>
      <w:tr w:rsidR="00085F84" w14:paraId="50566418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E54F8B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112986F4" w14:textId="465F30A3" w:rsidR="00085F84" w:rsidRDefault="00570262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Manage the secure receipt, sorting, scanning, distribution and tracking of all incoming and outgoing mail, including Royal Mail, DX </w:t>
            </w:r>
            <w:r w:rsidR="000C5766">
              <w:t xml:space="preserve">post, and deliveries. Maintain accurate records of all tracked mail items and ensure the mailroom remains organised and tidy. </w:t>
            </w:r>
          </w:p>
          <w:p w14:paraId="5D1C498B" w14:textId="06EB954A" w:rsidR="00E5379D" w:rsidRDefault="00E5379D" w:rsidP="00E5379D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Set up meeting rooms and manage room layouts as required, including the safe handling and movement of office furniture.</w:t>
            </w:r>
          </w:p>
          <w:p w14:paraId="012AF112" w14:textId="6E4DDB61" w:rsidR="00085F84" w:rsidRDefault="0054071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Book</w:t>
            </w:r>
            <w:r w:rsidR="000C5766">
              <w:t>, coordinate,</w:t>
            </w:r>
            <w:r>
              <w:t xml:space="preserve"> </w:t>
            </w:r>
            <w:r w:rsidR="00124422">
              <w:t xml:space="preserve">and manage </w:t>
            </w:r>
            <w:r>
              <w:t>courier</w:t>
            </w:r>
            <w:r w:rsidR="000C5766">
              <w:t xml:space="preserve"> services as required</w:t>
            </w:r>
            <w:r w:rsidR="000A4CBB">
              <w:t>.</w:t>
            </w:r>
          </w:p>
          <w:p w14:paraId="676EFC61" w14:textId="34A91932" w:rsidR="00085F84" w:rsidRDefault="0054071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Manage offsite storage </w:t>
            </w:r>
            <w:r w:rsidR="000C5766">
              <w:t>processes</w:t>
            </w:r>
            <w:r>
              <w:t xml:space="preserve">, </w:t>
            </w:r>
            <w:r w:rsidR="000C5766">
              <w:t xml:space="preserve">including archiving, file </w:t>
            </w:r>
            <w:r>
              <w:t xml:space="preserve">retrievals </w:t>
            </w:r>
            <w:r w:rsidR="000C5766">
              <w:t>and</w:t>
            </w:r>
            <w:r>
              <w:t xml:space="preserve"> </w:t>
            </w:r>
            <w:r w:rsidR="000C5766">
              <w:t xml:space="preserve">secure document destruction. </w:t>
            </w:r>
          </w:p>
          <w:p w14:paraId="27D501F6" w14:textId="3D3D6324" w:rsidR="0054071D" w:rsidRDefault="00454704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Maintain adequate stock levels of catering supplies, stationery and paper. </w:t>
            </w:r>
          </w:p>
          <w:p w14:paraId="31B90ED0" w14:textId="3601ACD6" w:rsidR="0054071D" w:rsidRDefault="00454704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Monitor, m</w:t>
            </w:r>
            <w:r w:rsidR="0054071D">
              <w:t xml:space="preserve">anage, </w:t>
            </w:r>
            <w:r>
              <w:t xml:space="preserve">and </w:t>
            </w:r>
            <w:r w:rsidR="0054071D">
              <w:t xml:space="preserve">action </w:t>
            </w:r>
            <w:r>
              <w:t>Facilities</w:t>
            </w:r>
            <w:r w:rsidR="0054071D">
              <w:t xml:space="preserve"> helpdesk requests</w:t>
            </w:r>
            <w:r>
              <w:t xml:space="preserve"> in a timely manner</w:t>
            </w:r>
            <w:r w:rsidR="0054071D">
              <w:t>.</w:t>
            </w:r>
          </w:p>
          <w:p w14:paraId="237A103D" w14:textId="19C239CF" w:rsidR="0054071D" w:rsidRDefault="00454704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Support the smooth running of the office </w:t>
            </w:r>
            <w:r w:rsidR="0054071D">
              <w:t xml:space="preserve">(filling printers with paper ensuring printer hubs are stocked and </w:t>
            </w:r>
            <w:r>
              <w:t xml:space="preserve">kept </w:t>
            </w:r>
            <w:r w:rsidR="0054071D">
              <w:t>tidy).</w:t>
            </w:r>
          </w:p>
          <w:p w14:paraId="1CCC7A0A" w14:textId="50C7CAF6" w:rsidR="0054071D" w:rsidRDefault="0054071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Identify </w:t>
            </w:r>
            <w:r w:rsidR="00271D80">
              <w:t>opportunities for service improvements contribute to their implementation</w:t>
            </w:r>
            <w:r>
              <w:t>.</w:t>
            </w:r>
          </w:p>
          <w:p w14:paraId="6B728E66" w14:textId="02D77AB4" w:rsidR="0054071D" w:rsidRDefault="0054071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Develop, maintain and implement written process</w:t>
            </w:r>
            <w:r w:rsidR="00271D80">
              <w:t>es</w:t>
            </w:r>
            <w:r>
              <w:t xml:space="preserve"> and procedures.</w:t>
            </w:r>
          </w:p>
          <w:p w14:paraId="24CDC4CF" w14:textId="1AADDE1C" w:rsidR="0054071D" w:rsidRDefault="0054071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Cover other Facilities team members when </w:t>
            </w:r>
            <w:r w:rsidR="004F0276">
              <w:t>needed</w:t>
            </w:r>
            <w:r>
              <w:t xml:space="preserve">, </w:t>
            </w:r>
            <w:r w:rsidR="004F0276">
              <w:t xml:space="preserve">including </w:t>
            </w:r>
            <w:r>
              <w:t>liaising with contractors</w:t>
            </w:r>
            <w:r w:rsidR="004F0276">
              <w:t xml:space="preserve"> and </w:t>
            </w:r>
            <w:r>
              <w:t>suppliers.</w:t>
            </w:r>
          </w:p>
          <w:p w14:paraId="4B45856B" w14:textId="386F6223" w:rsidR="00815EC7" w:rsidRDefault="004F0276" w:rsidP="00815EC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occasional support to Reception, including answering calls and monitoring emails inbox.</w:t>
            </w:r>
          </w:p>
          <w:p w14:paraId="06784E09" w14:textId="7F551E85" w:rsidR="0054071D" w:rsidRDefault="0040731B" w:rsidP="00815EC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Undertake a</w:t>
            </w:r>
            <w:r w:rsidR="0054071D">
              <w:t xml:space="preserve">ny other reasonable </w:t>
            </w:r>
            <w:r>
              <w:t>duties</w:t>
            </w:r>
            <w:r w:rsidR="0054071D">
              <w:t xml:space="preserve"> as requested by </w:t>
            </w:r>
            <w:r>
              <w:t xml:space="preserve">the </w:t>
            </w:r>
            <w:r w:rsidR="0054071D">
              <w:t xml:space="preserve">Facilities and Health </w:t>
            </w:r>
            <w:r>
              <w:t>&amp;</w:t>
            </w:r>
            <w:r w:rsidR="0054071D">
              <w:t xml:space="preserve"> Safety </w:t>
            </w:r>
            <w:r w:rsidR="00815EC7">
              <w:t>Assistant.</w:t>
            </w:r>
          </w:p>
        </w:tc>
      </w:tr>
      <w:tr w:rsidR="00085F84" w14:paraId="77CD04FA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4AC8BC" w14:textId="18706E6D" w:rsidR="00085F84" w:rsidRDefault="00085F84" w:rsidP="006B11EE">
            <w:proofErr w:type="gramStart"/>
            <w:r>
              <w:t>Date</w:t>
            </w:r>
            <w:r w:rsidR="00AE740F">
              <w:t xml:space="preserve">  1</w:t>
            </w:r>
            <w:r w:rsidR="00D73BA3">
              <w:t>2</w:t>
            </w:r>
            <w:proofErr w:type="gramEnd"/>
            <w:r w:rsidR="00AE740F">
              <w:t xml:space="preserve"> March 202</w:t>
            </w:r>
            <w:r w:rsidR="00D73BA3">
              <w:t>6</w:t>
            </w:r>
          </w:p>
        </w:tc>
        <w:tc>
          <w:tcPr>
            <w:tcW w:w="6814" w:type="dxa"/>
          </w:tcPr>
          <w:p w14:paraId="590389DF" w14:textId="77777777" w:rsidR="00085F84" w:rsidRDefault="00085F84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44EA47" w14:textId="2F8DF1C8" w:rsidR="00085F84" w:rsidRDefault="00085F84"/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06EB7F1D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1DC5838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5D313F8C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455FCA95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75345624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3782BDE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04379D33" w14:textId="54A74320" w:rsidR="00F67677" w:rsidRDefault="00714750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A61347">
              <w:t xml:space="preserve">roficient in the use of Microsoft </w:t>
            </w:r>
            <w:r>
              <w:t>Office applications</w:t>
            </w:r>
          </w:p>
        </w:tc>
        <w:tc>
          <w:tcPr>
            <w:tcW w:w="3475" w:type="dxa"/>
          </w:tcPr>
          <w:p w14:paraId="64964DD2" w14:textId="5FD4F871" w:rsidR="00F67677" w:rsidRDefault="002338ED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Manual Handling</w:t>
            </w:r>
            <w:r w:rsidR="00714750">
              <w:t xml:space="preserve"> training</w:t>
            </w:r>
          </w:p>
        </w:tc>
      </w:tr>
      <w:tr w:rsidR="00F67677" w14:paraId="143C16A4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3D98FA5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7C68B4C8" w14:textId="426A2C39" w:rsidR="00F67677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in a similar role within an office environment</w:t>
            </w:r>
          </w:p>
          <w:p w14:paraId="57EC68FF" w14:textId="0B6FE63B" w:rsidR="002338ED" w:rsidRDefault="00714750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handling</w:t>
            </w:r>
            <w:r w:rsidR="002338ED">
              <w:t xml:space="preserve"> mail, deliveries</w:t>
            </w:r>
            <w:r>
              <w:t>,</w:t>
            </w:r>
            <w:r w:rsidR="002338ED">
              <w:t xml:space="preserve"> </w:t>
            </w:r>
            <w:r>
              <w:t>and</w:t>
            </w:r>
            <w:r w:rsidR="002338ED">
              <w:t xml:space="preserve"> transporting boxes</w:t>
            </w:r>
          </w:p>
        </w:tc>
        <w:tc>
          <w:tcPr>
            <w:tcW w:w="3475" w:type="dxa"/>
          </w:tcPr>
          <w:p w14:paraId="2384E0B8" w14:textId="0643FF34" w:rsidR="002338ED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Reception </w:t>
            </w:r>
            <w:r w:rsidR="00714750">
              <w:t>or</w:t>
            </w:r>
            <w:r>
              <w:t xml:space="preserve"> </w:t>
            </w:r>
            <w:r w:rsidR="00714750">
              <w:t>c</w:t>
            </w:r>
            <w:r>
              <w:t>all</w:t>
            </w:r>
            <w:r w:rsidR="00714750">
              <w:t>-handling</w:t>
            </w:r>
            <w:r>
              <w:t xml:space="preserve"> </w:t>
            </w:r>
            <w:r w:rsidR="00714750">
              <w:t>experience</w:t>
            </w:r>
          </w:p>
          <w:p w14:paraId="3BADC3C4" w14:textId="0CD7131B" w:rsidR="00F67677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Experience </w:t>
            </w:r>
            <w:r w:rsidR="00714750">
              <w:t xml:space="preserve">using post-room equipment </w:t>
            </w:r>
            <w:r>
              <w:t>such as franking machine</w:t>
            </w:r>
            <w:r w:rsidR="00714750">
              <w:t>s</w:t>
            </w:r>
          </w:p>
        </w:tc>
      </w:tr>
      <w:tr w:rsidR="00F67677" w14:paraId="25FBDD2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03D3C49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283EAAE4" w14:textId="78C3DAA8" w:rsidR="00F67677" w:rsidRDefault="00B475F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2338ED">
              <w:t>xceptional attention to detail</w:t>
            </w:r>
          </w:p>
        </w:tc>
        <w:tc>
          <w:tcPr>
            <w:tcW w:w="3475" w:type="dxa"/>
          </w:tcPr>
          <w:p w14:paraId="072EB5AA" w14:textId="79322F21" w:rsidR="00F67677" w:rsidRDefault="002338ED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and Safety conscious</w:t>
            </w:r>
          </w:p>
        </w:tc>
      </w:tr>
      <w:tr w:rsidR="00F67677" w14:paraId="162939DD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A5FE2F4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5B9296E9" w14:textId="7A3F08CF" w:rsidR="00F67677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Excellent verbal and written</w:t>
            </w:r>
            <w:r w:rsidR="00B475FB">
              <w:t xml:space="preserve"> communication skills</w:t>
            </w:r>
          </w:p>
          <w:p w14:paraId="21B4548B" w14:textId="3F5762F8" w:rsidR="002338ED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Ability to build and </w:t>
            </w:r>
            <w:r w:rsidR="00B475FB">
              <w:t>maintain</w:t>
            </w:r>
            <w:r>
              <w:t xml:space="preserve"> effective working relationships at all levels</w:t>
            </w:r>
          </w:p>
          <w:p w14:paraId="1E1C218E" w14:textId="5A2AC1D0" w:rsidR="002338ED" w:rsidRDefault="00931ACF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Positive and proactive attitude with a willingness to learn and assist where required</w:t>
            </w:r>
          </w:p>
          <w:p w14:paraId="383FFBE2" w14:textId="14004854" w:rsidR="002338ED" w:rsidRDefault="002338ED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Ability to remain calm under pressure and manage </w:t>
            </w:r>
            <w:r w:rsidR="00E26275">
              <w:t>time effectively</w:t>
            </w:r>
          </w:p>
        </w:tc>
        <w:tc>
          <w:tcPr>
            <w:tcW w:w="3475" w:type="dxa"/>
          </w:tcPr>
          <w:p w14:paraId="09AEE8E4" w14:textId="2F77C9DC" w:rsidR="00F67677" w:rsidRDefault="00E26275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Flexibility and willingness to work outside normal working hours on an occasional basis</w:t>
            </w:r>
            <w:r w:rsidR="002338ED">
              <w:t xml:space="preserve"> (</w:t>
            </w:r>
            <w:r>
              <w:t xml:space="preserve">e.g. </w:t>
            </w:r>
            <w:r w:rsidR="002338ED">
              <w:t>once or twice a year)</w:t>
            </w:r>
          </w:p>
        </w:tc>
      </w:tr>
      <w:tr w:rsidR="00F67677" w14:paraId="40DBE9C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69D8E41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25672B95" w14:textId="68C1D6A4" w:rsidR="00F67677" w:rsidRDefault="00067843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maintain a high level of confidentiality</w:t>
            </w:r>
          </w:p>
          <w:p w14:paraId="01FFB00D" w14:textId="589299C7" w:rsidR="002338ED" w:rsidRDefault="002338ED" w:rsidP="00A6134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491189AF" w14:textId="77777777" w:rsidR="00F67677" w:rsidRDefault="00F67677" w:rsidP="007938C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4FA5252E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8E34C9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FED7" w14:textId="77777777" w:rsidR="00D94B2C" w:rsidRDefault="00D94B2C" w:rsidP="00C056E1">
      <w:pPr>
        <w:spacing w:after="0" w:line="240" w:lineRule="auto"/>
      </w:pPr>
      <w:r>
        <w:separator/>
      </w:r>
    </w:p>
  </w:endnote>
  <w:endnote w:type="continuationSeparator" w:id="0">
    <w:p w14:paraId="7FB75B85" w14:textId="77777777" w:rsidR="00D94B2C" w:rsidRDefault="00D94B2C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12DB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99F" w14:textId="77777777" w:rsidR="00D94B2C" w:rsidRDefault="00D94B2C" w:rsidP="00C056E1">
      <w:pPr>
        <w:spacing w:after="0" w:line="240" w:lineRule="auto"/>
      </w:pPr>
      <w:r>
        <w:separator/>
      </w:r>
    </w:p>
  </w:footnote>
  <w:footnote w:type="continuationSeparator" w:id="0">
    <w:p w14:paraId="0A00C300" w14:textId="77777777" w:rsidR="00D94B2C" w:rsidRDefault="00D94B2C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F635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2BDE79BD" wp14:editId="10F10A46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251A42CC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7B814307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8F56937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0091" w14:textId="77777777" w:rsidR="00A206E6" w:rsidRPr="00085F84" w:rsidRDefault="00085F84" w:rsidP="00085F84">
    <w:pPr>
      <w:pStyle w:val="Title"/>
    </w:pPr>
    <w:r w:rsidRPr="00085F84">
      <w:t>Job Description</w:t>
    </w:r>
  </w:p>
  <w:p w14:paraId="6DC4A4FF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2BFAC140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0A23E544" wp14:editId="1E1F2045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3.5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2"/>
    <w:rsid w:val="000040B1"/>
    <w:rsid w:val="00065E69"/>
    <w:rsid w:val="0006704A"/>
    <w:rsid w:val="00067843"/>
    <w:rsid w:val="000770BD"/>
    <w:rsid w:val="00085F84"/>
    <w:rsid w:val="000A0AB0"/>
    <w:rsid w:val="000A4CBB"/>
    <w:rsid w:val="000B368C"/>
    <w:rsid w:val="000C5766"/>
    <w:rsid w:val="000D0CC3"/>
    <w:rsid w:val="000D713E"/>
    <w:rsid w:val="00124422"/>
    <w:rsid w:val="00140B34"/>
    <w:rsid w:val="00150440"/>
    <w:rsid w:val="001547C3"/>
    <w:rsid w:val="00180948"/>
    <w:rsid w:val="00183DAD"/>
    <w:rsid w:val="0019073F"/>
    <w:rsid w:val="001A03DE"/>
    <w:rsid w:val="001A35B4"/>
    <w:rsid w:val="001B4A89"/>
    <w:rsid w:val="001E053C"/>
    <w:rsid w:val="001E06BB"/>
    <w:rsid w:val="001E6E74"/>
    <w:rsid w:val="00216197"/>
    <w:rsid w:val="002338ED"/>
    <w:rsid w:val="0023475A"/>
    <w:rsid w:val="002718A4"/>
    <w:rsid w:val="00271D80"/>
    <w:rsid w:val="002A3074"/>
    <w:rsid w:val="002C493B"/>
    <w:rsid w:val="002D36D4"/>
    <w:rsid w:val="002F11B0"/>
    <w:rsid w:val="00305C32"/>
    <w:rsid w:val="00332A07"/>
    <w:rsid w:val="00334469"/>
    <w:rsid w:val="00341BA6"/>
    <w:rsid w:val="00374729"/>
    <w:rsid w:val="00377350"/>
    <w:rsid w:val="00391E41"/>
    <w:rsid w:val="003B4C7F"/>
    <w:rsid w:val="003E3E52"/>
    <w:rsid w:val="0040731B"/>
    <w:rsid w:val="0041349F"/>
    <w:rsid w:val="00437DDF"/>
    <w:rsid w:val="00454704"/>
    <w:rsid w:val="00455B4F"/>
    <w:rsid w:val="00466757"/>
    <w:rsid w:val="00470777"/>
    <w:rsid w:val="004773A0"/>
    <w:rsid w:val="0048656B"/>
    <w:rsid w:val="004B4047"/>
    <w:rsid w:val="004C7BBD"/>
    <w:rsid w:val="004D3D0D"/>
    <w:rsid w:val="004D58E3"/>
    <w:rsid w:val="004E7829"/>
    <w:rsid w:val="004F0276"/>
    <w:rsid w:val="00512D45"/>
    <w:rsid w:val="00514FD2"/>
    <w:rsid w:val="0054071D"/>
    <w:rsid w:val="00541564"/>
    <w:rsid w:val="00570262"/>
    <w:rsid w:val="00574D85"/>
    <w:rsid w:val="005B59B5"/>
    <w:rsid w:val="005F301F"/>
    <w:rsid w:val="0060158E"/>
    <w:rsid w:val="00624460"/>
    <w:rsid w:val="006452AD"/>
    <w:rsid w:val="00662CBF"/>
    <w:rsid w:val="00672405"/>
    <w:rsid w:val="00684F01"/>
    <w:rsid w:val="00686AE6"/>
    <w:rsid w:val="006A4458"/>
    <w:rsid w:val="006B11EE"/>
    <w:rsid w:val="006B6382"/>
    <w:rsid w:val="006D50AF"/>
    <w:rsid w:val="006E5E0B"/>
    <w:rsid w:val="006F66D7"/>
    <w:rsid w:val="00714750"/>
    <w:rsid w:val="007938CB"/>
    <w:rsid w:val="00795EA2"/>
    <w:rsid w:val="007A1399"/>
    <w:rsid w:val="007B7AE2"/>
    <w:rsid w:val="007D00E1"/>
    <w:rsid w:val="007E0CCB"/>
    <w:rsid w:val="00815EC7"/>
    <w:rsid w:val="008421A4"/>
    <w:rsid w:val="00856063"/>
    <w:rsid w:val="008621CE"/>
    <w:rsid w:val="008769BC"/>
    <w:rsid w:val="008822A0"/>
    <w:rsid w:val="00884E2D"/>
    <w:rsid w:val="00887B7C"/>
    <w:rsid w:val="00887B7F"/>
    <w:rsid w:val="00892553"/>
    <w:rsid w:val="0089363C"/>
    <w:rsid w:val="008E34C9"/>
    <w:rsid w:val="008E65DA"/>
    <w:rsid w:val="009003CD"/>
    <w:rsid w:val="009011B4"/>
    <w:rsid w:val="00906410"/>
    <w:rsid w:val="00931795"/>
    <w:rsid w:val="00931ACF"/>
    <w:rsid w:val="00934E43"/>
    <w:rsid w:val="0094380A"/>
    <w:rsid w:val="00945BF5"/>
    <w:rsid w:val="0095124F"/>
    <w:rsid w:val="00967AF7"/>
    <w:rsid w:val="009825FF"/>
    <w:rsid w:val="009966AA"/>
    <w:rsid w:val="00997A1C"/>
    <w:rsid w:val="009A3A8C"/>
    <w:rsid w:val="009A3AAB"/>
    <w:rsid w:val="009C5AAF"/>
    <w:rsid w:val="009C5BE0"/>
    <w:rsid w:val="00A07478"/>
    <w:rsid w:val="00A12496"/>
    <w:rsid w:val="00A206E6"/>
    <w:rsid w:val="00A216F9"/>
    <w:rsid w:val="00A61347"/>
    <w:rsid w:val="00A7242F"/>
    <w:rsid w:val="00AA4EB5"/>
    <w:rsid w:val="00AB20E9"/>
    <w:rsid w:val="00AD0973"/>
    <w:rsid w:val="00AE740F"/>
    <w:rsid w:val="00AE7D86"/>
    <w:rsid w:val="00AF13AE"/>
    <w:rsid w:val="00AF1AF7"/>
    <w:rsid w:val="00B16F22"/>
    <w:rsid w:val="00B475FB"/>
    <w:rsid w:val="00B55BD6"/>
    <w:rsid w:val="00B60521"/>
    <w:rsid w:val="00B60E9A"/>
    <w:rsid w:val="00B635E1"/>
    <w:rsid w:val="00BA4535"/>
    <w:rsid w:val="00BB13BC"/>
    <w:rsid w:val="00BC5580"/>
    <w:rsid w:val="00BF095E"/>
    <w:rsid w:val="00C05112"/>
    <w:rsid w:val="00C056E1"/>
    <w:rsid w:val="00C21973"/>
    <w:rsid w:val="00C50787"/>
    <w:rsid w:val="00C5778C"/>
    <w:rsid w:val="00C6541A"/>
    <w:rsid w:val="00C81D9C"/>
    <w:rsid w:val="00CA1D29"/>
    <w:rsid w:val="00D13628"/>
    <w:rsid w:val="00D1430E"/>
    <w:rsid w:val="00D633AA"/>
    <w:rsid w:val="00D64ECA"/>
    <w:rsid w:val="00D67E94"/>
    <w:rsid w:val="00D73BA3"/>
    <w:rsid w:val="00D74E7D"/>
    <w:rsid w:val="00D94B2C"/>
    <w:rsid w:val="00DA08C1"/>
    <w:rsid w:val="00DA171E"/>
    <w:rsid w:val="00DF7ECA"/>
    <w:rsid w:val="00E26275"/>
    <w:rsid w:val="00E2712D"/>
    <w:rsid w:val="00E32161"/>
    <w:rsid w:val="00E33F05"/>
    <w:rsid w:val="00E5379D"/>
    <w:rsid w:val="00E6111F"/>
    <w:rsid w:val="00E634C4"/>
    <w:rsid w:val="00E70AB6"/>
    <w:rsid w:val="00EA3816"/>
    <w:rsid w:val="00EB04CD"/>
    <w:rsid w:val="00EB5850"/>
    <w:rsid w:val="00EE500B"/>
    <w:rsid w:val="00F158BD"/>
    <w:rsid w:val="00F67677"/>
    <w:rsid w:val="00F7035C"/>
    <w:rsid w:val="00FD16F9"/>
    <w:rsid w:val="10A28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5BCF"/>
  <w15:chartTrackingRefBased/>
  <w15:docId w15:val="{C9047428-8C2F-43D1-BC59-FA06DA75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ulley\AppData\Local\Microsoft\Windows\INetCache\Content.Outlook\LL0VBNWQ\Job%20description%20and%20employee%20spec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8a16918e-df7f-4deb-90d3-d66be05c91b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07889A-84D2-4A5E-A3D8-AFAABC931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16918e-df7f-4deb-90d3-d66be05c91b5"/>
    <ds:schemaRef ds:uri="41cf5c0b-7ba7-48bc-9e0b-3f0251a97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Shirley Paulley</dc:creator>
  <cp:keywords/>
  <dc:description/>
  <cp:lastModifiedBy>Eilidh Dewar</cp:lastModifiedBy>
  <cp:revision>18</cp:revision>
  <dcterms:created xsi:type="dcterms:W3CDTF">2026-03-12T11:24:00Z</dcterms:created>
  <dcterms:modified xsi:type="dcterms:W3CDTF">2026-03-24T10:03:00Z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j51334b8464a403e8708c44b550590d2">
    <vt:lpwstr/>
  </property>
  <property fmtid="{D5CDD505-2E9C-101B-9397-08002B2CF9AE}" pid="12" name="Committee">
    <vt:lpwstr/>
  </property>
  <property fmtid="{D5CDD505-2E9C-101B-9397-08002B2CF9AE}" pid="13" name="m73f487bf6df40bd884c3d6035f2f3bf">
    <vt:lpwstr/>
  </property>
  <property fmtid="{D5CDD505-2E9C-101B-9397-08002B2CF9AE}" pid="14" name="Directorate">
    <vt:lpwstr/>
  </property>
  <property fmtid="{D5CDD505-2E9C-101B-9397-08002B2CF9AE}" pid="15" name="TaxCatchAll">
    <vt:lpwstr/>
  </property>
</Properties>
</file>