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96FA" w14:textId="55152498" w:rsidR="007A31A4" w:rsidRDefault="007A31A4" w:rsidP="007044DA">
      <w:pPr>
        <w:rPr>
          <w:b/>
          <w:bCs/>
        </w:rPr>
      </w:pPr>
      <w:r>
        <w:rPr>
          <w:b/>
          <w:bCs/>
        </w:rPr>
        <w:t>AML Certificate 2025: Copy of questions</w:t>
      </w:r>
    </w:p>
    <w:p w14:paraId="17AA896B" w14:textId="4EC9FE03" w:rsidR="00492039" w:rsidRPr="00AE364A" w:rsidRDefault="00AE364A" w:rsidP="007044DA">
      <w:pPr>
        <w:rPr>
          <w:b/>
          <w:bCs/>
        </w:rPr>
      </w:pPr>
      <w:r>
        <w:rPr>
          <w:b/>
          <w:bCs/>
        </w:rPr>
        <w:t xml:space="preserve">Section 1: </w:t>
      </w:r>
      <w:r w:rsidR="007044DA" w:rsidRPr="00AE364A">
        <w:rPr>
          <w:b/>
          <w:bCs/>
        </w:rPr>
        <w:t>Practice Information</w:t>
      </w:r>
    </w:p>
    <w:tbl>
      <w:tblPr>
        <w:tblStyle w:val="TableGrid"/>
        <w:tblW w:w="9493" w:type="dxa"/>
        <w:tblLook w:val="04A0" w:firstRow="1" w:lastRow="0" w:firstColumn="1" w:lastColumn="0" w:noHBand="0" w:noVBand="1"/>
      </w:tblPr>
      <w:tblGrid>
        <w:gridCol w:w="8075"/>
        <w:gridCol w:w="1418"/>
      </w:tblGrid>
      <w:tr w:rsidR="007044DA" w14:paraId="2F4F521D" w14:textId="77777777" w:rsidTr="00810258">
        <w:tc>
          <w:tcPr>
            <w:tcW w:w="8075" w:type="dxa"/>
          </w:tcPr>
          <w:p w14:paraId="7A550A9D" w14:textId="3F8AF659" w:rsidR="007044DA" w:rsidRDefault="007044DA" w:rsidP="007044DA">
            <w:r>
              <w:t>Practice Name</w:t>
            </w:r>
          </w:p>
        </w:tc>
        <w:tc>
          <w:tcPr>
            <w:tcW w:w="1418" w:type="dxa"/>
          </w:tcPr>
          <w:p w14:paraId="2B852E56" w14:textId="21AB914A" w:rsidR="007044DA" w:rsidRDefault="008570DD" w:rsidP="007044DA">
            <w:r>
              <w:t>Free Text</w:t>
            </w:r>
          </w:p>
        </w:tc>
      </w:tr>
      <w:tr w:rsidR="007044DA" w14:paraId="7FC809CA" w14:textId="77777777" w:rsidTr="00810258">
        <w:tc>
          <w:tcPr>
            <w:tcW w:w="8075" w:type="dxa"/>
          </w:tcPr>
          <w:p w14:paraId="110DF735" w14:textId="6936EB36" w:rsidR="007044DA" w:rsidRDefault="007044DA" w:rsidP="007044DA">
            <w:r>
              <w:t xml:space="preserve">MLRO Name </w:t>
            </w:r>
          </w:p>
        </w:tc>
        <w:tc>
          <w:tcPr>
            <w:tcW w:w="1418" w:type="dxa"/>
          </w:tcPr>
          <w:p w14:paraId="5FD16978" w14:textId="663ABE13" w:rsidR="007044DA" w:rsidRDefault="008570DD" w:rsidP="007044DA">
            <w:r>
              <w:t>Free Text</w:t>
            </w:r>
          </w:p>
        </w:tc>
      </w:tr>
      <w:tr w:rsidR="007044DA" w14:paraId="5257F135" w14:textId="77777777" w:rsidTr="00810258">
        <w:tc>
          <w:tcPr>
            <w:tcW w:w="8075" w:type="dxa"/>
          </w:tcPr>
          <w:p w14:paraId="382C8B7C" w14:textId="23BF5573" w:rsidR="007044DA" w:rsidRDefault="007044DA" w:rsidP="007044DA">
            <w:r>
              <w:t>MLRO Email Address</w:t>
            </w:r>
          </w:p>
        </w:tc>
        <w:tc>
          <w:tcPr>
            <w:tcW w:w="1418" w:type="dxa"/>
          </w:tcPr>
          <w:p w14:paraId="1FEFECB0" w14:textId="769ACCBF" w:rsidR="007044DA" w:rsidRDefault="008570DD" w:rsidP="007044DA">
            <w:r>
              <w:t>Free Text</w:t>
            </w:r>
          </w:p>
        </w:tc>
      </w:tr>
      <w:tr w:rsidR="007044DA" w14:paraId="2C2BB496" w14:textId="77777777" w:rsidTr="00810258">
        <w:tc>
          <w:tcPr>
            <w:tcW w:w="8075" w:type="dxa"/>
          </w:tcPr>
          <w:p w14:paraId="61741A09" w14:textId="5393F3B5" w:rsidR="007044DA" w:rsidRDefault="00FE427C" w:rsidP="007044DA">
            <w:r>
              <w:t>Date of MLRO Appointment</w:t>
            </w:r>
          </w:p>
        </w:tc>
        <w:tc>
          <w:tcPr>
            <w:tcW w:w="1418" w:type="dxa"/>
          </w:tcPr>
          <w:p w14:paraId="3E17A542" w14:textId="2BADA02B" w:rsidR="007044DA" w:rsidRDefault="008570DD" w:rsidP="007044DA">
            <w:r>
              <w:t>Free Text</w:t>
            </w:r>
          </w:p>
        </w:tc>
      </w:tr>
      <w:tr w:rsidR="007044DA" w14:paraId="47BE641E" w14:textId="77777777" w:rsidTr="00810258">
        <w:tc>
          <w:tcPr>
            <w:tcW w:w="8075" w:type="dxa"/>
          </w:tcPr>
          <w:p w14:paraId="448C05C6" w14:textId="77777777" w:rsidR="003046C0" w:rsidRDefault="007044DA" w:rsidP="007044DA">
            <w:r>
              <w:t xml:space="preserve">MLCO Name </w:t>
            </w:r>
          </w:p>
          <w:p w14:paraId="12CD4CDB" w14:textId="73BA1387" w:rsidR="007044DA" w:rsidRPr="003046C0" w:rsidRDefault="007044DA" w:rsidP="007044DA">
            <w:pPr>
              <w:rPr>
                <w:i/>
                <w:iCs/>
                <w:sz w:val="16"/>
                <w:szCs w:val="16"/>
              </w:rPr>
            </w:pPr>
            <w:r w:rsidRPr="003046C0">
              <w:rPr>
                <w:i/>
                <w:iCs/>
                <w:sz w:val="16"/>
                <w:szCs w:val="16"/>
              </w:rPr>
              <w:t>(if applicable)</w:t>
            </w:r>
          </w:p>
        </w:tc>
        <w:tc>
          <w:tcPr>
            <w:tcW w:w="1418" w:type="dxa"/>
          </w:tcPr>
          <w:p w14:paraId="690A35CA" w14:textId="3EE650F0" w:rsidR="007044DA" w:rsidRDefault="008570DD" w:rsidP="007044DA">
            <w:r>
              <w:t>Free Text</w:t>
            </w:r>
          </w:p>
        </w:tc>
      </w:tr>
      <w:tr w:rsidR="007044DA" w14:paraId="1E8CEF56" w14:textId="77777777" w:rsidTr="00810258">
        <w:tc>
          <w:tcPr>
            <w:tcW w:w="8075" w:type="dxa"/>
          </w:tcPr>
          <w:p w14:paraId="34A2A4C2" w14:textId="77777777" w:rsidR="003046C0" w:rsidRDefault="007044DA" w:rsidP="007044DA">
            <w:r>
              <w:t xml:space="preserve">MLCO Email Address </w:t>
            </w:r>
          </w:p>
          <w:p w14:paraId="6E13B5A7" w14:textId="4AC64DC7" w:rsidR="007044DA" w:rsidRPr="003046C0" w:rsidRDefault="007044DA" w:rsidP="007044DA">
            <w:pPr>
              <w:rPr>
                <w:i/>
                <w:iCs/>
                <w:sz w:val="16"/>
                <w:szCs w:val="16"/>
              </w:rPr>
            </w:pPr>
            <w:r w:rsidRPr="003046C0">
              <w:rPr>
                <w:i/>
                <w:iCs/>
                <w:sz w:val="16"/>
                <w:szCs w:val="16"/>
              </w:rPr>
              <w:t>(if applicable)</w:t>
            </w:r>
          </w:p>
        </w:tc>
        <w:tc>
          <w:tcPr>
            <w:tcW w:w="1418" w:type="dxa"/>
          </w:tcPr>
          <w:p w14:paraId="052CB0F2" w14:textId="24BBCD53" w:rsidR="007044DA" w:rsidRDefault="008570DD" w:rsidP="007044DA">
            <w:r>
              <w:t>Free Text</w:t>
            </w:r>
          </w:p>
        </w:tc>
      </w:tr>
      <w:tr w:rsidR="007044DA" w14:paraId="48B9160C" w14:textId="77777777" w:rsidTr="00810258">
        <w:tc>
          <w:tcPr>
            <w:tcW w:w="8075" w:type="dxa"/>
          </w:tcPr>
          <w:p w14:paraId="1FC66B4B" w14:textId="4C9C0C58" w:rsidR="007044DA" w:rsidRPr="00AF24BC" w:rsidRDefault="00096A0E" w:rsidP="007044DA">
            <w:r w:rsidRPr="00AF24BC">
              <w:t>Is the practice operated by a sole practitioner?</w:t>
            </w:r>
          </w:p>
        </w:tc>
        <w:tc>
          <w:tcPr>
            <w:tcW w:w="1418" w:type="dxa"/>
          </w:tcPr>
          <w:p w14:paraId="1A0EE6CD" w14:textId="5E74306C" w:rsidR="007044DA" w:rsidRDefault="0005630C" w:rsidP="007044DA">
            <w:r>
              <w:t>Yes / No</w:t>
            </w:r>
          </w:p>
        </w:tc>
      </w:tr>
      <w:tr w:rsidR="00FE427C" w14:paraId="02511AEA" w14:textId="77777777" w:rsidTr="00810258">
        <w:tc>
          <w:tcPr>
            <w:tcW w:w="8075" w:type="dxa"/>
          </w:tcPr>
          <w:p w14:paraId="417FD741" w14:textId="7D60E6B6" w:rsidR="00FE427C" w:rsidRPr="00FE427C" w:rsidRDefault="00FE427C" w:rsidP="007044DA">
            <w:r w:rsidRPr="00FE427C">
              <w:rPr>
                <w:rFonts w:eastAsia="Times New Roman" w:cs="Times New Roman"/>
              </w:rPr>
              <w:t>Total numbers of Law Society of Scotland member staff, including partners?</w:t>
            </w:r>
          </w:p>
        </w:tc>
        <w:tc>
          <w:tcPr>
            <w:tcW w:w="1418" w:type="dxa"/>
          </w:tcPr>
          <w:p w14:paraId="6071A197" w14:textId="643D79DF" w:rsidR="00FE427C" w:rsidRDefault="0005630C" w:rsidP="007044DA">
            <w:r>
              <w:t>Numerical Value</w:t>
            </w:r>
          </w:p>
        </w:tc>
      </w:tr>
      <w:tr w:rsidR="00FE427C" w14:paraId="0798A988" w14:textId="77777777" w:rsidTr="00810258">
        <w:tc>
          <w:tcPr>
            <w:tcW w:w="8075" w:type="dxa"/>
          </w:tcPr>
          <w:p w14:paraId="5B9ED9CB" w14:textId="3161AF98" w:rsidR="00FE427C" w:rsidRPr="00AE3D41" w:rsidRDefault="00AE3D41" w:rsidP="007044DA">
            <w:pPr>
              <w:rPr>
                <w:rFonts w:eastAsia="Times New Roman" w:cs="Times New Roman"/>
              </w:rPr>
            </w:pPr>
            <w:r w:rsidRPr="00AE3D41">
              <w:rPr>
                <w:rFonts w:eastAsia="Times New Roman" w:cs="Times New Roman"/>
              </w:rPr>
              <w:t>Gross total fees at your last reported financial year end</w:t>
            </w:r>
          </w:p>
        </w:tc>
        <w:tc>
          <w:tcPr>
            <w:tcW w:w="1418" w:type="dxa"/>
          </w:tcPr>
          <w:p w14:paraId="78163914" w14:textId="24AB54D3" w:rsidR="00FE427C" w:rsidRDefault="0005630C" w:rsidP="007044DA">
            <w:r>
              <w:t>Numerical Value</w:t>
            </w:r>
          </w:p>
        </w:tc>
      </w:tr>
      <w:tr w:rsidR="00AE3D41" w14:paraId="3841C7EA" w14:textId="77777777" w:rsidTr="00810258">
        <w:tc>
          <w:tcPr>
            <w:tcW w:w="8075" w:type="dxa"/>
          </w:tcPr>
          <w:p w14:paraId="6558FD0F" w14:textId="58E7CCAD" w:rsidR="00AE3D41" w:rsidRPr="00AE3D41" w:rsidRDefault="00AE3D41" w:rsidP="007044DA">
            <w:pPr>
              <w:rPr>
                <w:rFonts w:eastAsia="Times New Roman" w:cs="Times New Roman"/>
              </w:rPr>
            </w:pPr>
            <w:r w:rsidRPr="00AE3D41">
              <w:rPr>
                <w:rFonts w:eastAsia="Times New Roman" w:cs="Times New Roman"/>
              </w:rPr>
              <w:t xml:space="preserve">Gross fees from </w:t>
            </w:r>
            <w:r w:rsidR="002C7205">
              <w:rPr>
                <w:rFonts w:eastAsia="Times New Roman" w:cs="Times New Roman"/>
              </w:rPr>
              <w:t>in-scope</w:t>
            </w:r>
            <w:r w:rsidRPr="00AE3D41">
              <w:rPr>
                <w:rFonts w:eastAsia="Times New Roman" w:cs="Times New Roman"/>
              </w:rPr>
              <w:t xml:space="preserve"> </w:t>
            </w:r>
            <w:r w:rsidR="002C7205" w:rsidRPr="00605BE5">
              <w:t xml:space="preserve">(as defined </w:t>
            </w:r>
            <w:r w:rsidR="002C7205" w:rsidRPr="00AF24BC">
              <w:t>by R</w:t>
            </w:r>
            <w:r w:rsidR="00096A0E" w:rsidRPr="00AF24BC">
              <w:t xml:space="preserve">egulations </w:t>
            </w:r>
            <w:r w:rsidR="002C7205" w:rsidRPr="00AF24BC">
              <w:t xml:space="preserve">12 </w:t>
            </w:r>
            <w:r w:rsidR="00096A0E" w:rsidRPr="00AF24BC">
              <w:t xml:space="preserve">and 11 </w:t>
            </w:r>
            <w:r w:rsidR="002C7205" w:rsidRPr="00AF24BC">
              <w:t xml:space="preserve">of the </w:t>
            </w:r>
            <w:r w:rsidR="002C7205" w:rsidRPr="00605BE5">
              <w:t>Money Laundering Regulations)</w:t>
            </w:r>
            <w:r w:rsidR="002C7205">
              <w:t xml:space="preserve"> </w:t>
            </w:r>
            <w:r w:rsidRPr="00AE3D41">
              <w:rPr>
                <w:rFonts w:eastAsia="Times New Roman" w:cs="Times New Roman"/>
              </w:rPr>
              <w:t>work at your last reported financial year end</w:t>
            </w:r>
          </w:p>
        </w:tc>
        <w:tc>
          <w:tcPr>
            <w:tcW w:w="1418" w:type="dxa"/>
          </w:tcPr>
          <w:p w14:paraId="21F111BA" w14:textId="5BE1D647" w:rsidR="00AE3D41" w:rsidRDefault="0005630C" w:rsidP="007044DA">
            <w:r>
              <w:t>Numerical Value</w:t>
            </w:r>
          </w:p>
        </w:tc>
      </w:tr>
      <w:tr w:rsidR="0042725F" w14:paraId="7F718CA5" w14:textId="77777777" w:rsidTr="00810258">
        <w:tc>
          <w:tcPr>
            <w:tcW w:w="8075" w:type="dxa"/>
          </w:tcPr>
          <w:p w14:paraId="66533FEE" w14:textId="7FBFC4B6" w:rsidR="0042725F" w:rsidRPr="00AE3D41" w:rsidRDefault="00800851" w:rsidP="007044DA">
            <w:pPr>
              <w:rPr>
                <w:rFonts w:eastAsia="Times New Roman" w:cs="Times New Roman"/>
              </w:rPr>
            </w:pPr>
            <w:r w:rsidRPr="00800851">
              <w:rPr>
                <w:rFonts w:eastAsia="Times New Roman" w:cs="Times New Roman"/>
              </w:rPr>
              <w:t>Has any consultant</w:t>
            </w:r>
            <w:r w:rsidR="009B34A0">
              <w:rPr>
                <w:rFonts w:eastAsia="Times New Roman" w:cs="Times New Roman"/>
              </w:rPr>
              <w:t>s</w:t>
            </w:r>
            <w:r w:rsidRPr="00800851">
              <w:rPr>
                <w:rFonts w:eastAsia="Times New Roman" w:cs="Times New Roman"/>
              </w:rPr>
              <w:t xml:space="preserve"> or third</w:t>
            </w:r>
            <w:r w:rsidRPr="00800851">
              <w:rPr>
                <w:rFonts w:eastAsia="Times New Roman" w:cs="Times New Roman"/>
              </w:rPr>
              <w:noBreakHyphen/>
              <w:t>part</w:t>
            </w:r>
            <w:r w:rsidR="009B34A0">
              <w:rPr>
                <w:rFonts w:eastAsia="Times New Roman" w:cs="Times New Roman"/>
              </w:rPr>
              <w:t>ies</w:t>
            </w:r>
            <w:r w:rsidRPr="00800851">
              <w:rPr>
                <w:rFonts w:eastAsia="Times New Roman" w:cs="Times New Roman"/>
              </w:rPr>
              <w:t xml:space="preserve"> assisted in drafting the </w:t>
            </w:r>
            <w:r w:rsidR="007F2AC0">
              <w:rPr>
                <w:rFonts w:eastAsia="Times New Roman" w:cs="Times New Roman"/>
              </w:rPr>
              <w:t xml:space="preserve">current </w:t>
            </w:r>
            <w:r w:rsidRPr="00800851">
              <w:rPr>
                <w:rFonts w:eastAsia="Times New Roman" w:cs="Times New Roman"/>
              </w:rPr>
              <w:t>Practice</w:t>
            </w:r>
            <w:r w:rsidRPr="00800851">
              <w:rPr>
                <w:rFonts w:eastAsia="Times New Roman" w:cs="Times New Roman"/>
              </w:rPr>
              <w:noBreakHyphen/>
              <w:t>Wide Risk Assessment or the Policies, Controls, and Procedural documentation?</w:t>
            </w:r>
          </w:p>
        </w:tc>
        <w:tc>
          <w:tcPr>
            <w:tcW w:w="1418" w:type="dxa"/>
          </w:tcPr>
          <w:p w14:paraId="22C8765D" w14:textId="3B8E7970" w:rsidR="0042725F" w:rsidRDefault="0042725F" w:rsidP="007044DA">
            <w:r>
              <w:t>Yes / No</w:t>
            </w:r>
          </w:p>
        </w:tc>
      </w:tr>
      <w:tr w:rsidR="0042725F" w14:paraId="56EE0D03" w14:textId="77777777" w:rsidTr="00810258">
        <w:tc>
          <w:tcPr>
            <w:tcW w:w="8075" w:type="dxa"/>
          </w:tcPr>
          <w:p w14:paraId="15D7FBCF" w14:textId="1BA37CB3" w:rsidR="0042725F" w:rsidRDefault="00800851" w:rsidP="007044DA">
            <w:pPr>
              <w:rPr>
                <w:rFonts w:eastAsia="Times New Roman" w:cs="Times New Roman"/>
              </w:rPr>
            </w:pPr>
            <w:r w:rsidRPr="00800851">
              <w:rPr>
                <w:rFonts w:eastAsia="Times New Roman" w:cs="Times New Roman"/>
              </w:rPr>
              <w:t>If any consultants or third</w:t>
            </w:r>
            <w:r w:rsidRPr="00800851">
              <w:rPr>
                <w:rFonts w:eastAsia="Times New Roman" w:cs="Times New Roman"/>
              </w:rPr>
              <w:noBreakHyphen/>
              <w:t>part</w:t>
            </w:r>
            <w:r>
              <w:rPr>
                <w:rFonts w:eastAsia="Times New Roman" w:cs="Times New Roman"/>
              </w:rPr>
              <w:t>ies have</w:t>
            </w:r>
            <w:r w:rsidRPr="00800851">
              <w:rPr>
                <w:rFonts w:eastAsia="Times New Roman" w:cs="Times New Roman"/>
              </w:rPr>
              <w:t xml:space="preserve"> assisted in preparing the </w:t>
            </w:r>
            <w:r w:rsidR="007F2AC0">
              <w:rPr>
                <w:rFonts w:eastAsia="Times New Roman" w:cs="Times New Roman"/>
              </w:rPr>
              <w:t xml:space="preserve">current </w:t>
            </w:r>
            <w:r w:rsidRPr="00800851">
              <w:rPr>
                <w:rFonts w:eastAsia="Times New Roman" w:cs="Times New Roman"/>
              </w:rPr>
              <w:t>Practice</w:t>
            </w:r>
            <w:r w:rsidRPr="00800851">
              <w:rPr>
                <w:rFonts w:eastAsia="Times New Roman" w:cs="Times New Roman"/>
              </w:rPr>
              <w:noBreakHyphen/>
              <w:t>Wide Risk Assessment or the Policies, Controls, and Procedural documentation, please provide the names of the individuals and/or companies involved</w:t>
            </w:r>
            <w:r>
              <w:rPr>
                <w:rFonts w:eastAsia="Times New Roman" w:cs="Times New Roman"/>
              </w:rPr>
              <w:t xml:space="preserve">. </w:t>
            </w:r>
          </w:p>
        </w:tc>
        <w:tc>
          <w:tcPr>
            <w:tcW w:w="1418" w:type="dxa"/>
          </w:tcPr>
          <w:p w14:paraId="19E3E5A8" w14:textId="5F7418D3" w:rsidR="0042725F" w:rsidRDefault="0042725F" w:rsidP="007044DA">
            <w:r>
              <w:t>Free Text</w:t>
            </w:r>
          </w:p>
        </w:tc>
      </w:tr>
    </w:tbl>
    <w:p w14:paraId="033E33A0" w14:textId="77777777" w:rsidR="007044DA" w:rsidRDefault="007044DA" w:rsidP="007044DA"/>
    <w:p w14:paraId="6C28EAFC" w14:textId="08141FC1" w:rsidR="00AE3D41" w:rsidRPr="00AE364A" w:rsidRDefault="00AE364A" w:rsidP="007044DA">
      <w:pPr>
        <w:rPr>
          <w:b/>
          <w:bCs/>
        </w:rPr>
      </w:pPr>
      <w:r>
        <w:rPr>
          <w:b/>
          <w:bCs/>
        </w:rPr>
        <w:t xml:space="preserve">Section 2: </w:t>
      </w:r>
      <w:r w:rsidR="005655F6" w:rsidRPr="00AE364A">
        <w:rPr>
          <w:b/>
          <w:bCs/>
        </w:rPr>
        <w:t>Risk</w:t>
      </w:r>
      <w:r>
        <w:rPr>
          <w:b/>
          <w:bCs/>
        </w:rPr>
        <w:t xml:space="preserve"> </w:t>
      </w:r>
      <w:r w:rsidR="00A96537">
        <w:rPr>
          <w:b/>
          <w:bCs/>
        </w:rPr>
        <w:t>Assessment</w:t>
      </w:r>
    </w:p>
    <w:tbl>
      <w:tblPr>
        <w:tblStyle w:val="TableGrid"/>
        <w:tblW w:w="9493" w:type="dxa"/>
        <w:tblLook w:val="04A0" w:firstRow="1" w:lastRow="0" w:firstColumn="1" w:lastColumn="0" w:noHBand="0" w:noVBand="1"/>
      </w:tblPr>
      <w:tblGrid>
        <w:gridCol w:w="8075"/>
        <w:gridCol w:w="1418"/>
      </w:tblGrid>
      <w:tr w:rsidR="005655F6" w14:paraId="57A297F0" w14:textId="77777777" w:rsidTr="00810258">
        <w:tc>
          <w:tcPr>
            <w:tcW w:w="8075" w:type="dxa"/>
          </w:tcPr>
          <w:p w14:paraId="46AD16DA" w14:textId="77777777" w:rsidR="005655F6" w:rsidRDefault="00E44AF6" w:rsidP="007044DA">
            <w:pPr>
              <w:rPr>
                <w:rFonts w:eastAsia="Times New Roman" w:cs="Times New Roman"/>
              </w:rPr>
            </w:pPr>
            <w:r>
              <w:rPr>
                <w:rFonts w:eastAsia="Times New Roman" w:cs="Times New Roman"/>
              </w:rPr>
              <w:t xml:space="preserve">What is your </w:t>
            </w:r>
            <w:r w:rsidRPr="00E44AF6">
              <w:rPr>
                <w:rFonts w:eastAsia="Times New Roman" w:cs="Times New Roman"/>
              </w:rPr>
              <w:t>assess</w:t>
            </w:r>
            <w:r>
              <w:rPr>
                <w:rFonts w:eastAsia="Times New Roman" w:cs="Times New Roman"/>
              </w:rPr>
              <w:t>ment of</w:t>
            </w:r>
            <w:r w:rsidRPr="00E44AF6">
              <w:rPr>
                <w:rFonts w:eastAsia="Times New Roman" w:cs="Times New Roman"/>
              </w:rPr>
              <w:t xml:space="preserve"> the inherent AML risk level of your practice?</w:t>
            </w:r>
          </w:p>
          <w:p w14:paraId="6B27FA24" w14:textId="720F2187" w:rsidR="00E44AF6" w:rsidRPr="00E44AF6" w:rsidRDefault="00E44AF6" w:rsidP="007044DA">
            <w:pPr>
              <w:rPr>
                <w:i/>
                <w:iCs/>
                <w:sz w:val="16"/>
                <w:szCs w:val="16"/>
              </w:rPr>
            </w:pPr>
            <w:r w:rsidRPr="00E44AF6">
              <w:rPr>
                <w:i/>
                <w:iCs/>
                <w:sz w:val="16"/>
                <w:szCs w:val="16"/>
              </w:rPr>
              <w:t>(delete as appropriate)</w:t>
            </w:r>
          </w:p>
        </w:tc>
        <w:tc>
          <w:tcPr>
            <w:tcW w:w="1418" w:type="dxa"/>
          </w:tcPr>
          <w:p w14:paraId="77B436AE" w14:textId="34B1A2CA" w:rsidR="005655F6" w:rsidRDefault="00E44AF6" w:rsidP="007044DA">
            <w:r>
              <w:t>High / Medium / Low</w:t>
            </w:r>
          </w:p>
        </w:tc>
      </w:tr>
    </w:tbl>
    <w:p w14:paraId="52916EE0" w14:textId="77777777" w:rsidR="005655F6" w:rsidRDefault="005655F6" w:rsidP="007044DA"/>
    <w:p w14:paraId="4E4D7092" w14:textId="77777777" w:rsidR="007A2D9E" w:rsidRDefault="007A2D9E">
      <w:pPr>
        <w:rPr>
          <w:b/>
          <w:bCs/>
        </w:rPr>
      </w:pPr>
      <w:r>
        <w:rPr>
          <w:b/>
          <w:bCs/>
        </w:rPr>
        <w:br w:type="page"/>
      </w:r>
    </w:p>
    <w:p w14:paraId="149559FC" w14:textId="330E7FE6" w:rsidR="00F84D66" w:rsidRPr="00A96537" w:rsidRDefault="00A96537" w:rsidP="007044DA">
      <w:pPr>
        <w:rPr>
          <w:b/>
          <w:bCs/>
        </w:rPr>
      </w:pPr>
      <w:r w:rsidRPr="00A96537">
        <w:rPr>
          <w:b/>
          <w:bCs/>
        </w:rPr>
        <w:lastRenderedPageBreak/>
        <w:t xml:space="preserve">Section 3: </w:t>
      </w:r>
      <w:r w:rsidR="00F84D66" w:rsidRPr="00A96537">
        <w:rPr>
          <w:b/>
          <w:bCs/>
        </w:rPr>
        <w:t>In-scope Activities</w:t>
      </w:r>
    </w:p>
    <w:tbl>
      <w:tblPr>
        <w:tblStyle w:val="TableGrid"/>
        <w:tblW w:w="9493" w:type="dxa"/>
        <w:tblLook w:val="04A0" w:firstRow="1" w:lastRow="0" w:firstColumn="1" w:lastColumn="0" w:noHBand="0" w:noVBand="1"/>
      </w:tblPr>
      <w:tblGrid>
        <w:gridCol w:w="8075"/>
        <w:gridCol w:w="1418"/>
      </w:tblGrid>
      <w:tr w:rsidR="00605BE5" w14:paraId="762A7AEA" w14:textId="77777777" w:rsidTr="00810258">
        <w:tc>
          <w:tcPr>
            <w:tcW w:w="8075" w:type="dxa"/>
          </w:tcPr>
          <w:p w14:paraId="2EADFE52" w14:textId="22159050" w:rsidR="005877D4" w:rsidRPr="00AF24BC" w:rsidRDefault="00065516" w:rsidP="00605BE5">
            <w:r w:rsidRPr="00AF24BC">
              <w:t>During the relevant period (1 January 2025 to 31 December 2025), has your practice carried out any prescribed in</w:t>
            </w:r>
            <w:r w:rsidRPr="00AF24BC">
              <w:noBreakHyphen/>
              <w:t>scope activities as defined in Regulations 12 and 11 of the Money Laundering Regulations?</w:t>
            </w:r>
          </w:p>
          <w:p w14:paraId="19E639D3" w14:textId="77777777" w:rsidR="00065516" w:rsidRDefault="00065516" w:rsidP="00605BE5">
            <w:pPr>
              <w:rPr>
                <w:color w:val="EE0000"/>
              </w:rPr>
            </w:pPr>
          </w:p>
          <w:p w14:paraId="7795F2E5" w14:textId="004BA147" w:rsidR="00DC7A2F" w:rsidRDefault="00DC7A2F" w:rsidP="00605BE5">
            <w:pPr>
              <w:rPr>
                <w:color w:val="EE0000"/>
              </w:rPr>
            </w:pPr>
            <w:hyperlink r:id="rId11" w:history="1">
              <w:r w:rsidRPr="00420FEE">
                <w:rPr>
                  <w:rStyle w:val="Hyperlink"/>
                </w:rPr>
                <w:t>https://www.legislation.gov.uk/uksi/2017/692</w:t>
              </w:r>
            </w:hyperlink>
          </w:p>
          <w:p w14:paraId="28277E79" w14:textId="77777777" w:rsidR="00DC7A2F" w:rsidRDefault="00DC7A2F" w:rsidP="00605BE5">
            <w:pPr>
              <w:rPr>
                <w:i/>
                <w:iCs/>
                <w:sz w:val="16"/>
                <w:szCs w:val="16"/>
              </w:rPr>
            </w:pPr>
          </w:p>
          <w:p w14:paraId="74AD8A82" w14:textId="4E943E51" w:rsidR="00F25B16" w:rsidRPr="00997075" w:rsidRDefault="00F25B16" w:rsidP="00605BE5">
            <w:pPr>
              <w:rPr>
                <w:i/>
                <w:iCs/>
                <w:sz w:val="20"/>
                <w:szCs w:val="20"/>
              </w:rPr>
            </w:pPr>
            <w:r w:rsidRPr="00997075">
              <w:rPr>
                <w:i/>
                <w:iCs/>
                <w:sz w:val="20"/>
                <w:szCs w:val="20"/>
              </w:rPr>
              <w:t xml:space="preserve">Please note that if </w:t>
            </w:r>
            <w:r w:rsidR="00B759C2" w:rsidRPr="00997075">
              <w:rPr>
                <w:i/>
                <w:iCs/>
                <w:sz w:val="20"/>
                <w:szCs w:val="20"/>
              </w:rPr>
              <w:t>the practice is</w:t>
            </w:r>
            <w:r w:rsidRPr="00997075">
              <w:rPr>
                <w:i/>
                <w:iCs/>
                <w:sz w:val="20"/>
                <w:szCs w:val="20"/>
              </w:rPr>
              <w:t xml:space="preserve"> registered with the Society as undertaking in-scope work</w:t>
            </w:r>
            <w:r w:rsidR="00B759C2" w:rsidRPr="00997075">
              <w:rPr>
                <w:i/>
                <w:iCs/>
                <w:sz w:val="20"/>
                <w:szCs w:val="20"/>
              </w:rPr>
              <w:t>, even if the practice is not currently / regularly undertaking such work, the practice is</w:t>
            </w:r>
            <w:r w:rsidR="002F68D9" w:rsidRPr="00997075">
              <w:rPr>
                <w:i/>
                <w:iCs/>
                <w:sz w:val="20"/>
                <w:szCs w:val="20"/>
              </w:rPr>
              <w:t xml:space="preserve"> required to remain compliant with the Money Laundering Regulations 20</w:t>
            </w:r>
            <w:r w:rsidR="00781402" w:rsidRPr="00997075">
              <w:rPr>
                <w:i/>
                <w:iCs/>
                <w:sz w:val="20"/>
                <w:szCs w:val="20"/>
              </w:rPr>
              <w:t xml:space="preserve">17 and the relevant provisions within the Legal Sector Affinity Group Guidance. </w:t>
            </w:r>
          </w:p>
        </w:tc>
        <w:tc>
          <w:tcPr>
            <w:tcW w:w="1418" w:type="dxa"/>
          </w:tcPr>
          <w:p w14:paraId="40A78873" w14:textId="6C70C1F5" w:rsidR="00605BE5" w:rsidRDefault="0005630C" w:rsidP="007044DA">
            <w:r>
              <w:t>Yes / No</w:t>
            </w:r>
          </w:p>
        </w:tc>
      </w:tr>
      <w:tr w:rsidR="008630EB" w14:paraId="3789C752" w14:textId="77777777" w:rsidTr="00810258">
        <w:tc>
          <w:tcPr>
            <w:tcW w:w="8075" w:type="dxa"/>
          </w:tcPr>
          <w:p w14:paraId="102A7E41" w14:textId="35C046F2" w:rsidR="008E35A3" w:rsidRPr="00AF24BC" w:rsidRDefault="00065516" w:rsidP="00605BE5">
            <w:r w:rsidRPr="00AF24BC">
              <w:t>Which of the prescribed activities, as defined in Regulations 12 and 11 of the Money Laundering Regulations, does your practice undertake?</w:t>
            </w:r>
          </w:p>
          <w:p w14:paraId="5083591D" w14:textId="77777777" w:rsidR="00065516" w:rsidRDefault="00065516" w:rsidP="00605BE5">
            <w:pPr>
              <w:rPr>
                <w:color w:val="EE0000"/>
              </w:rPr>
            </w:pPr>
          </w:p>
          <w:p w14:paraId="493A2F25" w14:textId="77777777" w:rsidR="00997075" w:rsidRDefault="00997075" w:rsidP="00997075">
            <w:pPr>
              <w:rPr>
                <w:color w:val="EE0000"/>
              </w:rPr>
            </w:pPr>
            <w:hyperlink r:id="rId12" w:history="1">
              <w:r w:rsidRPr="00420FEE">
                <w:rPr>
                  <w:rStyle w:val="Hyperlink"/>
                </w:rPr>
                <w:t>https://www.legislation.gov.uk/uksi/2017/692</w:t>
              </w:r>
            </w:hyperlink>
          </w:p>
          <w:p w14:paraId="60F2D8C0" w14:textId="4459BA04" w:rsidR="00997075" w:rsidRPr="008E35A3" w:rsidRDefault="00997075" w:rsidP="00605BE5">
            <w:pPr>
              <w:rPr>
                <w:color w:val="EE0000"/>
              </w:rPr>
            </w:pPr>
          </w:p>
        </w:tc>
        <w:tc>
          <w:tcPr>
            <w:tcW w:w="1418" w:type="dxa"/>
          </w:tcPr>
          <w:p w14:paraId="5F721B2F" w14:textId="1F5C9D21" w:rsidR="008630EB" w:rsidRDefault="008570DD" w:rsidP="007044DA">
            <w:r>
              <w:t>Free Text</w:t>
            </w:r>
          </w:p>
        </w:tc>
      </w:tr>
      <w:tr w:rsidR="008630EB" w14:paraId="391C960A" w14:textId="77777777" w:rsidTr="00810258">
        <w:tc>
          <w:tcPr>
            <w:tcW w:w="8075" w:type="dxa"/>
          </w:tcPr>
          <w:p w14:paraId="3EDF93EB" w14:textId="2B97B485" w:rsidR="008630EB" w:rsidRPr="008570DD" w:rsidRDefault="00065516" w:rsidP="008630EB">
            <w:r w:rsidRPr="00AF24BC">
              <w:t>How frequently does your practice provide in</w:t>
            </w:r>
            <w:r w:rsidRPr="00AF24BC">
              <w:noBreakHyphen/>
              <w:t>scope services (as defined in Regulations 12 and 11 of the Money Laundering Regulations)? For example: daily, weekly, monthly, or infrequently.</w:t>
            </w:r>
          </w:p>
        </w:tc>
        <w:tc>
          <w:tcPr>
            <w:tcW w:w="1418" w:type="dxa"/>
          </w:tcPr>
          <w:p w14:paraId="223A7EBB" w14:textId="3F04B369" w:rsidR="008630EB" w:rsidRDefault="008570DD" w:rsidP="007044DA">
            <w:r>
              <w:t>Free Text</w:t>
            </w:r>
          </w:p>
        </w:tc>
      </w:tr>
      <w:tr w:rsidR="00605BE5" w14:paraId="51A99821" w14:textId="77777777" w:rsidTr="00810258">
        <w:tc>
          <w:tcPr>
            <w:tcW w:w="8075" w:type="dxa"/>
          </w:tcPr>
          <w:p w14:paraId="419E1C6A" w14:textId="77777777" w:rsidR="00467A24" w:rsidRPr="00AF24BC" w:rsidRDefault="00467A24" w:rsidP="00467A24">
            <w:r w:rsidRPr="00AF24BC">
              <w:t>Has anything significant occurred during the relevant period (1 January 2025 – 31 December 2025) that materially affects your practice, the in</w:t>
            </w:r>
            <w:r w:rsidRPr="00AF24BC">
              <w:noBreakHyphen/>
              <w:t>scope services it provides, or its overall risk profile?</w:t>
            </w:r>
          </w:p>
          <w:p w14:paraId="137435D2" w14:textId="77777777" w:rsidR="00467A24" w:rsidRPr="00AF24BC" w:rsidRDefault="00467A24" w:rsidP="00467A24"/>
          <w:p w14:paraId="69B4D5D6" w14:textId="77777777" w:rsidR="00467A24" w:rsidRPr="00AF24BC" w:rsidRDefault="00467A24" w:rsidP="00467A24">
            <w:r w:rsidRPr="00AF24BC">
              <w:t>Examples include, but are not limited to:</w:t>
            </w:r>
          </w:p>
          <w:p w14:paraId="597C6FF2" w14:textId="77777777" w:rsidR="00467A24" w:rsidRPr="00AF24BC" w:rsidRDefault="00467A24" w:rsidP="00467A24">
            <w:pPr>
              <w:numPr>
                <w:ilvl w:val="0"/>
                <w:numId w:val="4"/>
              </w:numPr>
            </w:pPr>
            <w:r w:rsidRPr="00AF24BC">
              <w:t>The practice being involved in a merger or acquisition</w:t>
            </w:r>
          </w:p>
          <w:p w14:paraId="15DF84C3" w14:textId="77777777" w:rsidR="00467A24" w:rsidRPr="00AF24BC" w:rsidRDefault="00467A24" w:rsidP="00467A24">
            <w:pPr>
              <w:numPr>
                <w:ilvl w:val="0"/>
                <w:numId w:val="4"/>
              </w:numPr>
            </w:pPr>
            <w:r w:rsidRPr="00AF24BC">
              <w:t>The commencement or cessation of any in</w:t>
            </w:r>
            <w:r w:rsidRPr="00AF24BC">
              <w:noBreakHyphen/>
              <w:t>scope service</w:t>
            </w:r>
          </w:p>
          <w:p w14:paraId="3AF4EB41" w14:textId="77777777" w:rsidR="00467A24" w:rsidRPr="00AF24BC" w:rsidRDefault="00467A24" w:rsidP="00467A24">
            <w:pPr>
              <w:numPr>
                <w:ilvl w:val="0"/>
                <w:numId w:val="4"/>
              </w:numPr>
            </w:pPr>
            <w:r w:rsidRPr="00AF24BC">
              <w:t>The practice beginning to act for clients domiciled in high</w:t>
            </w:r>
            <w:r w:rsidRPr="00AF24BC">
              <w:noBreakHyphen/>
              <w:t>risk jurisdictions</w:t>
            </w:r>
          </w:p>
          <w:p w14:paraId="2896E31B" w14:textId="77777777" w:rsidR="00467A24" w:rsidRPr="00AF24BC" w:rsidRDefault="00467A24" w:rsidP="00467A24"/>
          <w:p w14:paraId="56BA6CBA" w14:textId="6A5E5B96" w:rsidR="007A2D9E" w:rsidRDefault="00467A24" w:rsidP="00D62093">
            <w:r w:rsidRPr="00AF24BC">
              <w:t>If you are unsure whether an event should be included in this section, please contact AML@lawscot.org.uk for guidance.</w:t>
            </w:r>
          </w:p>
        </w:tc>
        <w:tc>
          <w:tcPr>
            <w:tcW w:w="1418" w:type="dxa"/>
          </w:tcPr>
          <w:p w14:paraId="48E9F004" w14:textId="3CCDD721" w:rsidR="00605BE5" w:rsidRDefault="0005630C" w:rsidP="007044DA">
            <w:r>
              <w:t>Yes / No</w:t>
            </w:r>
          </w:p>
        </w:tc>
      </w:tr>
      <w:tr w:rsidR="00145CFF" w14:paraId="271C8EDC" w14:textId="77777777" w:rsidTr="00810258">
        <w:tc>
          <w:tcPr>
            <w:tcW w:w="8075" w:type="dxa"/>
          </w:tcPr>
          <w:p w14:paraId="0499D04C" w14:textId="77777777" w:rsidR="00CB4953" w:rsidRPr="00AF24BC" w:rsidRDefault="00CB4953" w:rsidP="00CB4953">
            <w:r w:rsidRPr="00AF24BC">
              <w:t>If you have answered “yes” because something significant has changed or occurred, please provide details of the change or event.</w:t>
            </w:r>
          </w:p>
          <w:p w14:paraId="34EEFF6B" w14:textId="77777777" w:rsidR="00CB4953" w:rsidRPr="00AF24BC" w:rsidRDefault="00CB4953" w:rsidP="00CB4953"/>
          <w:p w14:paraId="6983DC9A" w14:textId="40EC8679" w:rsidR="00E72A38" w:rsidRPr="00605BE5" w:rsidRDefault="00CB4953" w:rsidP="00D62093">
            <w:r w:rsidRPr="00AF24BC">
              <w:t>If you are unsure whether an issue should be included in this section, please contact AML@lawscot.org.uk for guidance.</w:t>
            </w:r>
          </w:p>
        </w:tc>
        <w:tc>
          <w:tcPr>
            <w:tcW w:w="1418" w:type="dxa"/>
          </w:tcPr>
          <w:p w14:paraId="02B2F98F" w14:textId="53C09D3A" w:rsidR="00145CFF" w:rsidRDefault="008570DD" w:rsidP="007044DA">
            <w:r>
              <w:t>Free Text</w:t>
            </w:r>
          </w:p>
        </w:tc>
      </w:tr>
    </w:tbl>
    <w:p w14:paraId="57E768C0" w14:textId="77777777" w:rsidR="007A2D9E" w:rsidRDefault="007A2D9E" w:rsidP="007044DA">
      <w:pPr>
        <w:rPr>
          <w:b/>
          <w:bCs/>
        </w:rPr>
      </w:pPr>
    </w:p>
    <w:p w14:paraId="1C7A1057" w14:textId="77777777" w:rsidR="007A2D9E" w:rsidRDefault="007A2D9E">
      <w:pPr>
        <w:rPr>
          <w:b/>
          <w:bCs/>
        </w:rPr>
      </w:pPr>
      <w:r>
        <w:rPr>
          <w:b/>
          <w:bCs/>
        </w:rPr>
        <w:br w:type="page"/>
      </w:r>
    </w:p>
    <w:p w14:paraId="1EB509DA" w14:textId="63AA6F3B" w:rsidR="00A96537" w:rsidRDefault="00A96537" w:rsidP="007044DA">
      <w:pPr>
        <w:rPr>
          <w:b/>
          <w:bCs/>
        </w:rPr>
      </w:pPr>
      <w:r w:rsidRPr="00254965">
        <w:rPr>
          <w:b/>
          <w:bCs/>
        </w:rPr>
        <w:lastRenderedPageBreak/>
        <w:t xml:space="preserve">Section 4: </w:t>
      </w:r>
      <w:r w:rsidR="005A3E05" w:rsidRPr="00254965">
        <w:rPr>
          <w:b/>
          <w:bCs/>
        </w:rPr>
        <w:t xml:space="preserve">Legal Sector Affinity Group </w:t>
      </w:r>
      <w:r w:rsidR="00512709">
        <w:rPr>
          <w:b/>
          <w:bCs/>
        </w:rPr>
        <w:t xml:space="preserve">(LSAG) </w:t>
      </w:r>
      <w:r w:rsidR="00254965" w:rsidRPr="00254965">
        <w:rPr>
          <w:b/>
          <w:bCs/>
        </w:rPr>
        <w:t xml:space="preserve">Key Compliance </w:t>
      </w:r>
      <w:r w:rsidR="003907F7">
        <w:rPr>
          <w:b/>
          <w:bCs/>
        </w:rPr>
        <w:t xml:space="preserve">Principle </w:t>
      </w:r>
      <w:r w:rsidR="00254965" w:rsidRPr="00254965">
        <w:rPr>
          <w:b/>
          <w:bCs/>
        </w:rPr>
        <w:t>Confirmation</w:t>
      </w:r>
      <w:r w:rsidR="0025453B">
        <w:rPr>
          <w:b/>
          <w:bCs/>
        </w:rPr>
        <w:t xml:space="preserve"> </w:t>
      </w:r>
    </w:p>
    <w:p w14:paraId="72EA7695" w14:textId="110E715F" w:rsidR="00336782" w:rsidRPr="00CC3E6F" w:rsidRDefault="00512709" w:rsidP="007044DA">
      <w:pPr>
        <w:rPr>
          <w:color w:val="EE0000"/>
        </w:rPr>
      </w:pPr>
      <w:r w:rsidRPr="001205C3">
        <w:t>Full detail</w:t>
      </w:r>
      <w:r w:rsidR="003907F7">
        <w:t>s</w:t>
      </w:r>
      <w:r w:rsidRPr="001205C3">
        <w:t xml:space="preserve"> on each of the 36 Key Compliance Principles </w:t>
      </w:r>
      <w:r w:rsidR="003907F7">
        <w:t xml:space="preserve">(KCP) </w:t>
      </w:r>
      <w:r w:rsidRPr="001205C3">
        <w:t>can be found within the LSAG Guidance</w:t>
      </w:r>
      <w:r w:rsidR="00CC3E6F">
        <w:t xml:space="preserve"> </w:t>
      </w:r>
      <w:r w:rsidR="00D62093">
        <w:t xml:space="preserve">( </w:t>
      </w:r>
      <w:hyperlink r:id="rId13" w:history="1">
        <w:r w:rsidR="007C7CF6" w:rsidRPr="00420FEE">
          <w:rPr>
            <w:rStyle w:val="Hyperlink"/>
          </w:rPr>
          <w:t>https://www.lawscot.org.uk/media/vbyn3jku/lsag-aml-guidance-23-april-2025.pdf</w:t>
        </w:r>
      </w:hyperlink>
      <w:r w:rsidR="00D62093">
        <w:t xml:space="preserve"> )</w:t>
      </w:r>
      <w:r w:rsidRPr="001205C3">
        <w:t xml:space="preserve">. </w:t>
      </w:r>
    </w:p>
    <w:p w14:paraId="27857C25" w14:textId="049C6E91" w:rsidR="00512709" w:rsidRPr="000854C5" w:rsidRDefault="00D36BC2" w:rsidP="007044DA">
      <w:r w:rsidRPr="001205C3">
        <w:t xml:space="preserve">Each </w:t>
      </w:r>
      <w:r w:rsidR="002C19D3">
        <w:t>p</w:t>
      </w:r>
      <w:r w:rsidR="002C19D3" w:rsidRPr="001205C3">
        <w:t xml:space="preserve">ractice </w:t>
      </w:r>
      <w:r w:rsidRPr="001205C3">
        <w:t xml:space="preserve">must fully understand </w:t>
      </w:r>
      <w:r w:rsidR="001E1F59" w:rsidRPr="001205C3">
        <w:t xml:space="preserve">what each compliance principle entails </w:t>
      </w:r>
      <w:r w:rsidR="001E1F59" w:rsidRPr="000854C5">
        <w:t xml:space="preserve">before </w:t>
      </w:r>
      <w:r w:rsidR="000854C5" w:rsidRPr="000854C5">
        <w:t>completing the below</w:t>
      </w:r>
      <w:r w:rsidR="001E1F59" w:rsidRPr="000854C5">
        <w:t xml:space="preserve">. </w:t>
      </w:r>
      <w:r w:rsidR="0027029C">
        <w:t>The Principle Overview section below is provided for guidance only and should not be reli</w:t>
      </w:r>
      <w:r w:rsidR="00724344">
        <w:t xml:space="preserve">ed upon </w:t>
      </w:r>
      <w:r w:rsidR="006D4AAE">
        <w:t xml:space="preserve">in isolation </w:t>
      </w:r>
      <w:r w:rsidR="00724344">
        <w:t xml:space="preserve">to complete the confirmation. </w:t>
      </w:r>
    </w:p>
    <w:p w14:paraId="138B72D9" w14:textId="7E7E90EF" w:rsidR="005A47A2" w:rsidRPr="000854C5" w:rsidRDefault="005A47A2" w:rsidP="007044DA">
      <w:r w:rsidRPr="000854C5">
        <w:t xml:space="preserve">If you </w:t>
      </w:r>
      <w:r w:rsidR="0055580E" w:rsidRPr="000854C5">
        <w:t xml:space="preserve">are selecting </w:t>
      </w:r>
      <w:r w:rsidR="0079315E" w:rsidRPr="000854C5">
        <w:t>“No”</w:t>
      </w:r>
      <w:r w:rsidR="0066017F" w:rsidRPr="000854C5">
        <w:t xml:space="preserve"> or “Not Applicable”</w:t>
      </w:r>
      <w:r w:rsidR="0079315E" w:rsidRPr="000854C5">
        <w:t xml:space="preserve"> in relation to any of the Key Compliance Principles</w:t>
      </w:r>
      <w:r w:rsidR="00300009" w:rsidRPr="000854C5">
        <w:t xml:space="preserve">, in the “Practice Comments” section please provide an explanatory note detailing why this is the case. </w:t>
      </w:r>
      <w:r w:rsidR="006D4AAE">
        <w:t xml:space="preserve">For example, it may be that the firm is not of </w:t>
      </w:r>
      <w:r w:rsidR="00A479A8">
        <w:t>sufficient size to warrant the appointment of a Money Laundering Compliance Officer</w:t>
      </w:r>
      <w:r w:rsidR="002C19D3">
        <w:t xml:space="preserve"> (MLCO)</w:t>
      </w:r>
      <w:r w:rsidR="00A479A8">
        <w:t xml:space="preserve">. </w:t>
      </w:r>
    </w:p>
    <w:tbl>
      <w:tblPr>
        <w:tblW w:w="9480" w:type="dxa"/>
        <w:tblLook w:val="04A0" w:firstRow="1" w:lastRow="0" w:firstColumn="1" w:lastColumn="0" w:noHBand="0" w:noVBand="1"/>
      </w:tblPr>
      <w:tblGrid>
        <w:gridCol w:w="1620"/>
        <w:gridCol w:w="3820"/>
        <w:gridCol w:w="2210"/>
        <w:gridCol w:w="1830"/>
      </w:tblGrid>
      <w:tr w:rsidR="002D754A" w:rsidRPr="002D754A" w14:paraId="09B1C49C" w14:textId="77777777" w:rsidTr="002D754A">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3C89B356" w14:textId="1CE0C375" w:rsidR="002D754A" w:rsidRPr="002D754A" w:rsidRDefault="005A3E05" w:rsidP="002D754A">
            <w:pPr>
              <w:spacing w:after="0" w:line="240" w:lineRule="auto"/>
              <w:jc w:val="center"/>
              <w:rPr>
                <w:rFonts w:ascii="Aptos" w:eastAsia="Times New Roman" w:hAnsi="Aptos" w:cs="Times New Roman"/>
                <w:b/>
                <w:bCs/>
                <w:color w:val="000000"/>
                <w:kern w:val="0"/>
                <w:sz w:val="20"/>
                <w:szCs w:val="20"/>
                <w:lang w:eastAsia="en-GB"/>
                <w14:ligatures w14:val="none"/>
              </w:rPr>
            </w:pPr>
            <w:r>
              <w:rPr>
                <w:rFonts w:ascii="Aptos" w:eastAsia="Times New Roman" w:hAnsi="Aptos" w:cs="Times New Roman"/>
                <w:b/>
                <w:bCs/>
                <w:kern w:val="0"/>
                <w:sz w:val="20"/>
                <w:szCs w:val="20"/>
                <w:lang w:eastAsia="en-GB"/>
                <w14:ligatures w14:val="none"/>
              </w:rPr>
              <w:t>L</w:t>
            </w:r>
            <w:r w:rsidR="002D754A" w:rsidRPr="002D754A">
              <w:rPr>
                <w:rFonts w:ascii="Aptos" w:eastAsia="Times New Roman" w:hAnsi="Aptos" w:cs="Times New Roman"/>
                <w:b/>
                <w:bCs/>
                <w:kern w:val="0"/>
                <w:sz w:val="20"/>
                <w:szCs w:val="20"/>
                <w:lang w:eastAsia="en-GB"/>
                <w14:ligatures w14:val="none"/>
              </w:rPr>
              <w:t xml:space="preserve">SAG Compliance Principles Confirmation </w:t>
            </w:r>
          </w:p>
        </w:tc>
      </w:tr>
      <w:tr w:rsidR="002D754A" w:rsidRPr="002D754A" w14:paraId="78FFBCCA" w14:textId="77777777" w:rsidTr="00EB3335">
        <w:trPr>
          <w:trHeight w:val="600"/>
        </w:trPr>
        <w:tc>
          <w:tcPr>
            <w:tcW w:w="1620" w:type="dxa"/>
            <w:tcBorders>
              <w:top w:val="nil"/>
              <w:left w:val="single" w:sz="4" w:space="0" w:color="auto"/>
              <w:bottom w:val="single" w:sz="4" w:space="0" w:color="auto"/>
              <w:right w:val="single" w:sz="4" w:space="0" w:color="auto"/>
            </w:tcBorders>
            <w:vAlign w:val="center"/>
            <w:hideMark/>
          </w:tcPr>
          <w:p w14:paraId="03D04A66" w14:textId="244A30B4" w:rsidR="002D754A" w:rsidRPr="0025453B" w:rsidRDefault="001F23A8" w:rsidP="002D754A">
            <w:pPr>
              <w:spacing w:after="0" w:line="240" w:lineRule="auto"/>
              <w:jc w:val="center"/>
              <w:rPr>
                <w:rFonts w:ascii="Aptos" w:eastAsia="Times New Roman" w:hAnsi="Aptos" w:cs="Times New Roman"/>
                <w:b/>
                <w:bCs/>
                <w:color w:val="000000"/>
                <w:kern w:val="0"/>
                <w:lang w:eastAsia="en-GB"/>
                <w14:ligatures w14:val="none"/>
              </w:rPr>
            </w:pPr>
            <w:r>
              <w:rPr>
                <w:rFonts w:ascii="Aptos" w:eastAsia="Times New Roman" w:hAnsi="Aptos" w:cs="Times New Roman"/>
                <w:b/>
                <w:bCs/>
                <w:color w:val="000000"/>
                <w:kern w:val="0"/>
                <w:lang w:eastAsia="en-GB"/>
                <w14:ligatures w14:val="none"/>
              </w:rPr>
              <w:t>Compliance Principle</w:t>
            </w:r>
          </w:p>
        </w:tc>
        <w:tc>
          <w:tcPr>
            <w:tcW w:w="3820" w:type="dxa"/>
            <w:tcBorders>
              <w:top w:val="nil"/>
              <w:left w:val="nil"/>
              <w:bottom w:val="single" w:sz="4" w:space="0" w:color="auto"/>
              <w:right w:val="single" w:sz="4" w:space="0" w:color="auto"/>
            </w:tcBorders>
            <w:vAlign w:val="center"/>
            <w:hideMark/>
          </w:tcPr>
          <w:p w14:paraId="68C2E798" w14:textId="76AF9CDA" w:rsidR="002D754A" w:rsidRPr="0025453B" w:rsidRDefault="00EB3335" w:rsidP="002D754A">
            <w:pPr>
              <w:spacing w:after="0" w:line="240" w:lineRule="auto"/>
              <w:jc w:val="center"/>
              <w:rPr>
                <w:rFonts w:ascii="Aptos" w:eastAsia="Times New Roman" w:hAnsi="Aptos" w:cs="Times New Roman"/>
                <w:b/>
                <w:bCs/>
                <w:color w:val="000000"/>
                <w:kern w:val="0"/>
                <w:lang w:eastAsia="en-GB"/>
                <w14:ligatures w14:val="none"/>
              </w:rPr>
            </w:pPr>
            <w:r>
              <w:rPr>
                <w:rFonts w:ascii="Aptos" w:eastAsia="Times New Roman" w:hAnsi="Aptos" w:cs="Times New Roman"/>
                <w:b/>
                <w:bCs/>
                <w:color w:val="000000"/>
                <w:kern w:val="0"/>
                <w:lang w:eastAsia="en-GB"/>
                <w14:ligatures w14:val="none"/>
              </w:rPr>
              <w:t>Principle Overview</w:t>
            </w:r>
          </w:p>
        </w:tc>
        <w:tc>
          <w:tcPr>
            <w:tcW w:w="2210" w:type="dxa"/>
            <w:tcBorders>
              <w:top w:val="nil"/>
              <w:left w:val="nil"/>
              <w:bottom w:val="single" w:sz="4" w:space="0" w:color="auto"/>
              <w:right w:val="single" w:sz="4" w:space="0" w:color="auto"/>
            </w:tcBorders>
            <w:vAlign w:val="center"/>
            <w:hideMark/>
          </w:tcPr>
          <w:p w14:paraId="35E6DE03" w14:textId="2ABD2C56" w:rsidR="00EB3335" w:rsidRDefault="00EB3335" w:rsidP="002D754A">
            <w:pPr>
              <w:spacing w:after="0" w:line="240" w:lineRule="auto"/>
              <w:jc w:val="center"/>
              <w:rPr>
                <w:rFonts w:ascii="Aptos" w:eastAsia="Times New Roman" w:hAnsi="Aptos" w:cs="Times New Roman"/>
                <w:b/>
                <w:bCs/>
                <w:color w:val="000000"/>
                <w:kern w:val="0"/>
                <w:lang w:eastAsia="en-GB"/>
                <w14:ligatures w14:val="none"/>
              </w:rPr>
            </w:pPr>
            <w:r>
              <w:rPr>
                <w:rFonts w:ascii="Aptos" w:eastAsia="Times New Roman" w:hAnsi="Aptos" w:cs="Times New Roman"/>
                <w:b/>
                <w:bCs/>
                <w:color w:val="000000"/>
                <w:kern w:val="0"/>
                <w:lang w:eastAsia="en-GB"/>
                <w14:ligatures w14:val="none"/>
              </w:rPr>
              <w:t>Is the Practice Compliant</w:t>
            </w:r>
            <w:r w:rsidR="003907F7">
              <w:rPr>
                <w:rFonts w:ascii="Aptos" w:eastAsia="Times New Roman" w:hAnsi="Aptos" w:cs="Times New Roman"/>
                <w:b/>
                <w:bCs/>
                <w:color w:val="000000"/>
                <w:kern w:val="0"/>
                <w:lang w:eastAsia="en-GB"/>
                <w14:ligatures w14:val="none"/>
              </w:rPr>
              <w:t xml:space="preserve"> with the KCP</w:t>
            </w:r>
            <w:r>
              <w:rPr>
                <w:rFonts w:ascii="Aptos" w:eastAsia="Times New Roman" w:hAnsi="Aptos" w:cs="Times New Roman"/>
                <w:b/>
                <w:bCs/>
                <w:color w:val="000000"/>
                <w:kern w:val="0"/>
                <w:lang w:eastAsia="en-GB"/>
                <w14:ligatures w14:val="none"/>
              </w:rPr>
              <w:t xml:space="preserve">? </w:t>
            </w:r>
          </w:p>
          <w:p w14:paraId="183BA96F" w14:textId="541E9FD7" w:rsidR="002D754A" w:rsidRPr="0025453B" w:rsidRDefault="002D754A" w:rsidP="002D754A">
            <w:pPr>
              <w:spacing w:after="0" w:line="240" w:lineRule="auto"/>
              <w:jc w:val="center"/>
              <w:rPr>
                <w:rFonts w:ascii="Aptos" w:eastAsia="Times New Roman" w:hAnsi="Aptos" w:cs="Times New Roman"/>
                <w:b/>
                <w:bCs/>
                <w:color w:val="000000"/>
                <w:kern w:val="0"/>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vAlign w:val="center"/>
            <w:hideMark/>
          </w:tcPr>
          <w:p w14:paraId="43DFBA6D" w14:textId="77777777" w:rsidR="002D754A" w:rsidRPr="0025453B" w:rsidRDefault="002D754A" w:rsidP="002D754A">
            <w:pPr>
              <w:spacing w:after="0" w:line="240" w:lineRule="auto"/>
              <w:jc w:val="center"/>
              <w:rPr>
                <w:rFonts w:ascii="Aptos" w:eastAsia="Times New Roman" w:hAnsi="Aptos" w:cs="Times New Roman"/>
                <w:b/>
                <w:bCs/>
                <w:color w:val="000000"/>
                <w:kern w:val="0"/>
                <w:lang w:eastAsia="en-GB"/>
                <w14:ligatures w14:val="none"/>
              </w:rPr>
            </w:pPr>
            <w:r w:rsidRPr="0025453B">
              <w:rPr>
                <w:rFonts w:ascii="Aptos" w:eastAsia="Times New Roman" w:hAnsi="Aptos" w:cs="Times New Roman"/>
                <w:b/>
                <w:bCs/>
                <w:color w:val="000000"/>
                <w:kern w:val="0"/>
                <w:lang w:eastAsia="en-GB"/>
                <w14:ligatures w14:val="none"/>
              </w:rPr>
              <w:t>Practice Comments</w:t>
            </w:r>
          </w:p>
        </w:tc>
      </w:tr>
      <w:tr w:rsidR="002D754A" w:rsidRPr="002D754A" w14:paraId="75F57896" w14:textId="77777777" w:rsidTr="002D754A">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05FA7F62" w14:textId="77777777" w:rsidR="002D754A" w:rsidRPr="002D754A" w:rsidRDefault="002D754A" w:rsidP="002D754A">
            <w:pPr>
              <w:spacing w:after="0" w:line="240" w:lineRule="auto"/>
              <w:jc w:val="center"/>
              <w:rPr>
                <w:rFonts w:ascii="Aptos" w:eastAsia="Times New Roman" w:hAnsi="Aptos" w:cs="Times New Roman"/>
                <w:b/>
                <w:bCs/>
                <w:color w:val="000000"/>
                <w:kern w:val="0"/>
                <w:sz w:val="20"/>
                <w:szCs w:val="20"/>
                <w:lang w:eastAsia="en-GB"/>
                <w14:ligatures w14:val="none"/>
              </w:rPr>
            </w:pPr>
            <w:r w:rsidRPr="002D754A">
              <w:rPr>
                <w:rFonts w:ascii="Aptos" w:eastAsia="Times New Roman" w:hAnsi="Aptos" w:cs="Times New Roman"/>
                <w:b/>
                <w:bCs/>
                <w:kern w:val="0"/>
                <w:sz w:val="20"/>
                <w:szCs w:val="20"/>
                <w:lang w:eastAsia="en-GB"/>
                <w14:ligatures w14:val="none"/>
              </w:rPr>
              <w:t>AML Governance</w:t>
            </w:r>
          </w:p>
        </w:tc>
      </w:tr>
      <w:tr w:rsidR="002D754A" w:rsidRPr="002D754A" w14:paraId="34695AC4" w14:textId="77777777" w:rsidTr="00EB3335">
        <w:trPr>
          <w:trHeight w:val="1725"/>
        </w:trPr>
        <w:tc>
          <w:tcPr>
            <w:tcW w:w="1620" w:type="dxa"/>
            <w:vMerge w:val="restart"/>
            <w:tcBorders>
              <w:top w:val="nil"/>
              <w:left w:val="single" w:sz="4" w:space="0" w:color="auto"/>
              <w:bottom w:val="single" w:sz="4" w:space="0" w:color="auto"/>
              <w:right w:val="single" w:sz="4" w:space="0" w:color="auto"/>
            </w:tcBorders>
            <w:vAlign w:val="center"/>
            <w:hideMark/>
          </w:tcPr>
          <w:p w14:paraId="65201637"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w:t>
            </w:r>
          </w:p>
        </w:tc>
        <w:tc>
          <w:tcPr>
            <w:tcW w:w="3820" w:type="dxa"/>
            <w:tcBorders>
              <w:top w:val="nil"/>
              <w:left w:val="nil"/>
              <w:bottom w:val="single" w:sz="4" w:space="0" w:color="auto"/>
              <w:right w:val="single" w:sz="4" w:space="0" w:color="auto"/>
            </w:tcBorders>
            <w:vAlign w:val="center"/>
            <w:hideMark/>
          </w:tcPr>
          <w:p w14:paraId="1B012269" w14:textId="69B96965"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r w:rsidRPr="002D754A">
              <w:rPr>
                <w:rFonts w:ascii="Aptos" w:eastAsia="Times New Roman" w:hAnsi="Aptos" w:cs="Times New Roman"/>
                <w:color w:val="000000"/>
                <w:kern w:val="0"/>
                <w:lang w:eastAsia="en-GB"/>
                <w14:ligatures w14:val="none"/>
              </w:rPr>
              <w:t xml:space="preserve">Pursuant to Regulation 26, </w:t>
            </w:r>
            <w:r w:rsidR="009D1273">
              <w:rPr>
                <w:rFonts w:ascii="Aptos" w:eastAsia="Times New Roman" w:hAnsi="Aptos" w:cs="Times New Roman"/>
                <w:color w:val="000000"/>
                <w:kern w:val="0"/>
                <w:lang w:eastAsia="en-GB"/>
                <w14:ligatures w14:val="none"/>
              </w:rPr>
              <w:t xml:space="preserve">has the practice </w:t>
            </w:r>
            <w:r w:rsidRPr="002D754A">
              <w:rPr>
                <w:rFonts w:ascii="Aptos" w:eastAsia="Times New Roman" w:hAnsi="Aptos" w:cs="Times New Roman"/>
                <w:color w:val="000000"/>
                <w:kern w:val="0"/>
                <w:lang w:eastAsia="en-GB"/>
                <w14:ligatures w14:val="none"/>
              </w:rPr>
              <w:t xml:space="preserve">registered the current Beneficial Owners, Officers &amp; Managers (BOOMs) </w:t>
            </w:r>
            <w:r w:rsidR="009D1273">
              <w:rPr>
                <w:rFonts w:ascii="Aptos" w:eastAsia="Times New Roman" w:hAnsi="Aptos" w:cs="Times New Roman"/>
                <w:color w:val="000000"/>
                <w:kern w:val="0"/>
                <w:lang w:eastAsia="en-GB"/>
                <w14:ligatures w14:val="none"/>
              </w:rPr>
              <w:t xml:space="preserve">(including the current </w:t>
            </w:r>
            <w:r w:rsidR="002C19D3">
              <w:rPr>
                <w:rFonts w:ascii="Aptos" w:eastAsia="Times New Roman" w:hAnsi="Aptos" w:cs="Times New Roman"/>
                <w:color w:val="000000"/>
                <w:kern w:val="0"/>
                <w:lang w:eastAsia="en-GB"/>
                <w14:ligatures w14:val="none"/>
              </w:rPr>
              <w:t>Money Laundering Reporting Officer (</w:t>
            </w:r>
            <w:r w:rsidR="009D1273">
              <w:rPr>
                <w:rFonts w:ascii="Aptos" w:eastAsia="Times New Roman" w:hAnsi="Aptos" w:cs="Times New Roman"/>
                <w:color w:val="000000"/>
                <w:kern w:val="0"/>
                <w:lang w:eastAsia="en-GB"/>
                <w14:ligatures w14:val="none"/>
              </w:rPr>
              <w:t>MLRO</w:t>
            </w:r>
            <w:r w:rsidR="002C19D3">
              <w:rPr>
                <w:rFonts w:ascii="Aptos" w:eastAsia="Times New Roman" w:hAnsi="Aptos" w:cs="Times New Roman"/>
                <w:color w:val="000000"/>
                <w:kern w:val="0"/>
                <w:lang w:eastAsia="en-GB"/>
                <w14:ligatures w14:val="none"/>
              </w:rPr>
              <w:t>)</w:t>
            </w:r>
            <w:r w:rsidR="009D1273">
              <w:rPr>
                <w:rFonts w:ascii="Aptos" w:eastAsia="Times New Roman" w:hAnsi="Aptos" w:cs="Times New Roman"/>
                <w:color w:val="000000"/>
                <w:kern w:val="0"/>
                <w:lang w:eastAsia="en-GB"/>
                <w14:ligatures w14:val="none"/>
              </w:rPr>
              <w:t xml:space="preserve"> and where applicable the MLCO) </w:t>
            </w:r>
            <w:r w:rsidRPr="002D754A">
              <w:rPr>
                <w:rFonts w:ascii="Aptos" w:eastAsia="Times New Roman" w:hAnsi="Aptos" w:cs="Times New Roman"/>
                <w:color w:val="000000"/>
                <w:kern w:val="0"/>
                <w:lang w:eastAsia="en-GB"/>
                <w14:ligatures w14:val="none"/>
              </w:rPr>
              <w:t>with the Society following an application via the online Portal and a supporting Disclosure Scotland (or equivalent) check?</w:t>
            </w:r>
          </w:p>
        </w:tc>
        <w:tc>
          <w:tcPr>
            <w:tcW w:w="2210" w:type="dxa"/>
            <w:tcBorders>
              <w:top w:val="nil"/>
              <w:left w:val="nil"/>
              <w:bottom w:val="single" w:sz="4" w:space="0" w:color="auto"/>
              <w:right w:val="single" w:sz="4" w:space="0" w:color="auto"/>
            </w:tcBorders>
            <w:vAlign w:val="center"/>
            <w:hideMark/>
          </w:tcPr>
          <w:p w14:paraId="1591D53D" w14:textId="0540DD7C" w:rsidR="002D754A" w:rsidRPr="002D754A" w:rsidRDefault="0019644D" w:rsidP="002D754A">
            <w:pPr>
              <w:spacing w:after="0" w:line="240" w:lineRule="auto"/>
              <w:jc w:val="center"/>
              <w:rPr>
                <w:rFonts w:ascii="Aptos" w:eastAsia="Times New Roman" w:hAnsi="Aptos" w:cs="Times New Roman"/>
                <w:color w:val="000000"/>
                <w:kern w:val="0"/>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w:eastAsia="Times New Roman" w:hAnsi="Aptos" w:cs="Times New Roman"/>
                <w:color w:val="000000"/>
                <w:kern w:val="0"/>
                <w:lang w:eastAsia="en-GB"/>
                <w14:ligatures w14:val="none"/>
              </w:rPr>
              <w:t> </w:t>
            </w:r>
          </w:p>
        </w:tc>
        <w:tc>
          <w:tcPr>
            <w:tcW w:w="1830" w:type="dxa"/>
            <w:tcBorders>
              <w:top w:val="nil"/>
              <w:left w:val="nil"/>
              <w:bottom w:val="single" w:sz="4" w:space="0" w:color="auto"/>
              <w:right w:val="single" w:sz="4" w:space="0" w:color="auto"/>
            </w:tcBorders>
            <w:vAlign w:val="center"/>
            <w:hideMark/>
          </w:tcPr>
          <w:p w14:paraId="074F8C08" w14:textId="77777777" w:rsidR="00150DF5" w:rsidRDefault="008570DD" w:rsidP="002D754A">
            <w:pPr>
              <w:spacing w:after="0" w:line="240" w:lineRule="auto"/>
              <w:jc w:val="center"/>
            </w:pPr>
            <w:r>
              <w:t>Free Text</w:t>
            </w:r>
          </w:p>
          <w:p w14:paraId="16AE3664" w14:textId="4179331F"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p>
        </w:tc>
      </w:tr>
      <w:tr w:rsidR="002D754A" w:rsidRPr="002D754A" w14:paraId="551B7B87" w14:textId="77777777" w:rsidTr="0058030F">
        <w:trPr>
          <w:trHeight w:val="1200"/>
        </w:trPr>
        <w:tc>
          <w:tcPr>
            <w:tcW w:w="1620" w:type="dxa"/>
            <w:vMerge/>
            <w:tcBorders>
              <w:top w:val="nil"/>
              <w:left w:val="single" w:sz="4" w:space="0" w:color="auto"/>
              <w:bottom w:val="single" w:sz="4" w:space="0" w:color="auto"/>
              <w:right w:val="single" w:sz="4" w:space="0" w:color="auto"/>
            </w:tcBorders>
            <w:vAlign w:val="center"/>
            <w:hideMark/>
          </w:tcPr>
          <w:p w14:paraId="48CBF322" w14:textId="77777777" w:rsidR="002D754A" w:rsidRPr="002D754A" w:rsidRDefault="002D754A" w:rsidP="002D754A">
            <w:pPr>
              <w:spacing w:after="0" w:line="240" w:lineRule="auto"/>
              <w:rPr>
                <w:rFonts w:ascii="Aptos" w:eastAsia="Times New Roman" w:hAnsi="Aptos" w:cs="Times New Roman"/>
                <w:b/>
                <w:bCs/>
                <w:kern w:val="0"/>
                <w:lang w:eastAsia="en-GB"/>
                <w14:ligatures w14:val="none"/>
              </w:rPr>
            </w:pPr>
          </w:p>
        </w:tc>
        <w:tc>
          <w:tcPr>
            <w:tcW w:w="3820" w:type="dxa"/>
            <w:tcBorders>
              <w:top w:val="nil"/>
              <w:left w:val="nil"/>
              <w:bottom w:val="single" w:sz="4" w:space="0" w:color="auto"/>
              <w:right w:val="single" w:sz="4" w:space="0" w:color="auto"/>
            </w:tcBorders>
            <w:vAlign w:val="center"/>
            <w:hideMark/>
          </w:tcPr>
          <w:p w14:paraId="55C91C9E" w14:textId="67B2318A" w:rsidR="002D754A" w:rsidRDefault="002D754A" w:rsidP="002D754A">
            <w:pPr>
              <w:spacing w:after="0" w:line="240" w:lineRule="auto"/>
              <w:jc w:val="center"/>
              <w:rPr>
                <w:rFonts w:ascii="Aptos" w:eastAsia="Times New Roman" w:hAnsi="Aptos" w:cs="Times New Roman"/>
                <w:color w:val="000000"/>
                <w:kern w:val="0"/>
                <w:lang w:eastAsia="en-GB"/>
                <w14:ligatures w14:val="none"/>
              </w:rPr>
            </w:pPr>
            <w:r w:rsidRPr="002D754A">
              <w:rPr>
                <w:rFonts w:ascii="Aptos" w:eastAsia="Times New Roman" w:hAnsi="Aptos" w:cs="Times New Roman"/>
                <w:color w:val="000000"/>
                <w:kern w:val="0"/>
                <w:lang w:eastAsia="en-GB"/>
                <w14:ligatures w14:val="none"/>
              </w:rPr>
              <w:t>Please provide a list of the practice's current BOOMs (including names and positions) in the "Practice Comments</w:t>
            </w:r>
            <w:r w:rsidR="002C19D3">
              <w:rPr>
                <w:rFonts w:ascii="Aptos" w:eastAsia="Times New Roman" w:hAnsi="Aptos" w:cs="Times New Roman"/>
                <w:color w:val="000000"/>
                <w:kern w:val="0"/>
                <w:lang w:eastAsia="en-GB"/>
                <w14:ligatures w14:val="none"/>
              </w:rPr>
              <w:t>”</w:t>
            </w:r>
            <w:r w:rsidRPr="002D754A">
              <w:rPr>
                <w:rFonts w:ascii="Aptos" w:eastAsia="Times New Roman" w:hAnsi="Aptos" w:cs="Times New Roman"/>
                <w:color w:val="000000"/>
                <w:kern w:val="0"/>
                <w:lang w:eastAsia="en-GB"/>
                <w14:ligatures w14:val="none"/>
              </w:rPr>
              <w:t xml:space="preserve"> </w:t>
            </w:r>
            <w:r w:rsidR="002C19D3">
              <w:rPr>
                <w:rFonts w:ascii="Aptos" w:eastAsia="Times New Roman" w:hAnsi="Aptos" w:cs="Times New Roman"/>
                <w:color w:val="000000"/>
                <w:kern w:val="0"/>
                <w:lang w:eastAsia="en-GB"/>
                <w14:ligatures w14:val="none"/>
              </w:rPr>
              <w:t>s</w:t>
            </w:r>
            <w:r w:rsidR="002C19D3" w:rsidRPr="002D754A">
              <w:rPr>
                <w:rFonts w:ascii="Aptos" w:eastAsia="Times New Roman" w:hAnsi="Aptos" w:cs="Times New Roman"/>
                <w:color w:val="000000"/>
                <w:kern w:val="0"/>
                <w:lang w:eastAsia="en-GB"/>
                <w14:ligatures w14:val="none"/>
              </w:rPr>
              <w:t>ection</w:t>
            </w:r>
            <w:r w:rsidRPr="002D754A">
              <w:rPr>
                <w:rFonts w:ascii="Aptos" w:eastAsia="Times New Roman" w:hAnsi="Aptos" w:cs="Times New Roman"/>
                <w:color w:val="000000"/>
                <w:kern w:val="0"/>
                <w:lang w:eastAsia="en-GB"/>
                <w14:ligatures w14:val="none"/>
              </w:rPr>
              <w:t>.</w:t>
            </w:r>
          </w:p>
          <w:p w14:paraId="533B48B3" w14:textId="74662276" w:rsidR="00BD043C" w:rsidRPr="00BD6857" w:rsidRDefault="00BD043C" w:rsidP="002D754A">
            <w:pPr>
              <w:spacing w:after="0" w:line="240" w:lineRule="auto"/>
              <w:jc w:val="center"/>
              <w:rPr>
                <w:rFonts w:ascii="Aptos" w:eastAsia="Times New Roman" w:hAnsi="Aptos" w:cs="Times New Roman"/>
                <w:i/>
                <w:iCs/>
                <w:color w:val="000000"/>
                <w:kern w:val="0"/>
                <w:sz w:val="16"/>
                <w:szCs w:val="16"/>
                <w:lang w:eastAsia="en-GB"/>
                <w14:ligatures w14:val="none"/>
              </w:rPr>
            </w:pPr>
            <w:r w:rsidRPr="00BD6857">
              <w:rPr>
                <w:rFonts w:ascii="Aptos" w:eastAsia="Times New Roman" w:hAnsi="Aptos" w:cs="Times New Roman"/>
                <w:i/>
                <w:iCs/>
                <w:color w:val="000000"/>
                <w:kern w:val="0"/>
                <w:sz w:val="16"/>
                <w:szCs w:val="16"/>
                <w:lang w:eastAsia="en-GB"/>
                <w14:ligatures w14:val="none"/>
              </w:rPr>
              <w:t>Note: Where the practice has more than 10 BOOMs, please d</w:t>
            </w:r>
            <w:r w:rsidR="00BD6857" w:rsidRPr="00BD6857">
              <w:rPr>
                <w:rFonts w:ascii="Aptos" w:eastAsia="Times New Roman" w:hAnsi="Aptos" w:cs="Times New Roman"/>
                <w:i/>
                <w:iCs/>
                <w:color w:val="000000"/>
                <w:kern w:val="0"/>
                <w:sz w:val="16"/>
                <w:szCs w:val="16"/>
                <w:lang w:eastAsia="en-GB"/>
                <w14:ligatures w14:val="none"/>
              </w:rPr>
              <w:t>etail</w:t>
            </w:r>
            <w:r w:rsidRPr="00BD6857">
              <w:rPr>
                <w:rFonts w:ascii="Aptos" w:eastAsia="Times New Roman" w:hAnsi="Aptos" w:cs="Times New Roman"/>
                <w:i/>
                <w:iCs/>
                <w:color w:val="000000"/>
                <w:kern w:val="0"/>
                <w:sz w:val="16"/>
                <w:szCs w:val="16"/>
                <w:lang w:eastAsia="en-GB"/>
                <w14:ligatures w14:val="none"/>
              </w:rPr>
              <w:t xml:space="preserve"> these on a separate </w:t>
            </w:r>
            <w:r w:rsidR="00830491" w:rsidRPr="00BD6857">
              <w:rPr>
                <w:rFonts w:ascii="Aptos" w:eastAsia="Times New Roman" w:hAnsi="Aptos" w:cs="Times New Roman"/>
                <w:i/>
                <w:iCs/>
                <w:color w:val="000000"/>
                <w:kern w:val="0"/>
                <w:sz w:val="16"/>
                <w:szCs w:val="16"/>
                <w:lang w:eastAsia="en-GB"/>
                <w14:ligatures w14:val="none"/>
              </w:rPr>
              <w:t xml:space="preserve">document and attach this when submitting your </w:t>
            </w:r>
            <w:r w:rsidR="00BD6857" w:rsidRPr="00BD6857">
              <w:rPr>
                <w:rFonts w:ascii="Aptos" w:eastAsia="Times New Roman" w:hAnsi="Aptos" w:cs="Times New Roman"/>
                <w:i/>
                <w:iCs/>
                <w:color w:val="000000"/>
                <w:kern w:val="0"/>
                <w:sz w:val="16"/>
                <w:szCs w:val="16"/>
                <w:lang w:eastAsia="en-GB"/>
                <w14:ligatures w14:val="none"/>
              </w:rPr>
              <w:t xml:space="preserve">AML Certificate. </w:t>
            </w:r>
          </w:p>
        </w:tc>
        <w:tc>
          <w:tcPr>
            <w:tcW w:w="2210" w:type="dxa"/>
            <w:tcBorders>
              <w:top w:val="nil"/>
              <w:left w:val="nil"/>
              <w:bottom w:val="single" w:sz="4" w:space="0" w:color="auto"/>
              <w:right w:val="single" w:sz="4" w:space="0" w:color="auto"/>
            </w:tcBorders>
            <w:shd w:val="clear" w:color="auto" w:fill="F2F2F2" w:themeFill="background1" w:themeFillShade="F2"/>
            <w:vAlign w:val="center"/>
            <w:hideMark/>
          </w:tcPr>
          <w:p w14:paraId="2460E3B4" w14:textId="2F972914"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p>
        </w:tc>
        <w:tc>
          <w:tcPr>
            <w:tcW w:w="1830" w:type="dxa"/>
            <w:tcBorders>
              <w:top w:val="nil"/>
              <w:left w:val="nil"/>
              <w:bottom w:val="single" w:sz="4" w:space="0" w:color="auto"/>
              <w:right w:val="single" w:sz="4" w:space="0" w:color="auto"/>
            </w:tcBorders>
            <w:vAlign w:val="center"/>
            <w:hideMark/>
          </w:tcPr>
          <w:p w14:paraId="09F2DA21" w14:textId="77777777" w:rsidR="002D754A" w:rsidRDefault="008570DD" w:rsidP="002D754A">
            <w:pPr>
              <w:spacing w:after="0" w:line="240" w:lineRule="auto"/>
              <w:jc w:val="center"/>
              <w:rPr>
                <w:rFonts w:ascii="Aptos" w:eastAsia="Times New Roman" w:hAnsi="Aptos" w:cs="Times New Roman"/>
                <w:color w:val="000000"/>
                <w:kern w:val="0"/>
                <w:lang w:eastAsia="en-GB"/>
                <w14:ligatures w14:val="none"/>
              </w:rPr>
            </w:pPr>
            <w:r>
              <w:t>Free Text</w:t>
            </w:r>
            <w:r w:rsidR="002D754A" w:rsidRPr="002D754A">
              <w:rPr>
                <w:rFonts w:ascii="Aptos" w:eastAsia="Times New Roman" w:hAnsi="Aptos" w:cs="Times New Roman"/>
                <w:color w:val="000000"/>
                <w:kern w:val="0"/>
                <w:lang w:eastAsia="en-GB"/>
                <w14:ligatures w14:val="none"/>
              </w:rPr>
              <w:t> </w:t>
            </w:r>
          </w:p>
          <w:p w14:paraId="340C40B7" w14:textId="3AE36A7E" w:rsidR="00150DF5" w:rsidRPr="002D754A" w:rsidRDefault="00150DF5" w:rsidP="002D754A">
            <w:pPr>
              <w:spacing w:after="0" w:line="240" w:lineRule="auto"/>
              <w:jc w:val="center"/>
              <w:rPr>
                <w:rFonts w:ascii="Aptos" w:eastAsia="Times New Roman" w:hAnsi="Aptos" w:cs="Times New Roman"/>
                <w:color w:val="000000"/>
                <w:kern w:val="0"/>
                <w:lang w:eastAsia="en-GB"/>
                <w14:ligatures w14:val="none"/>
              </w:rPr>
            </w:pPr>
          </w:p>
        </w:tc>
      </w:tr>
      <w:tr w:rsidR="002D754A" w:rsidRPr="002D754A" w14:paraId="42B1E464" w14:textId="77777777" w:rsidTr="0058030F">
        <w:trPr>
          <w:trHeight w:val="630"/>
        </w:trPr>
        <w:tc>
          <w:tcPr>
            <w:tcW w:w="1620" w:type="dxa"/>
            <w:vMerge/>
            <w:tcBorders>
              <w:top w:val="nil"/>
              <w:left w:val="single" w:sz="4" w:space="0" w:color="auto"/>
              <w:bottom w:val="single" w:sz="4" w:space="0" w:color="auto"/>
              <w:right w:val="single" w:sz="4" w:space="0" w:color="auto"/>
            </w:tcBorders>
            <w:vAlign w:val="center"/>
            <w:hideMark/>
          </w:tcPr>
          <w:p w14:paraId="1A5EDC16" w14:textId="77777777" w:rsidR="002D754A" w:rsidRPr="002D754A" w:rsidRDefault="002D754A" w:rsidP="002D754A">
            <w:pPr>
              <w:spacing w:after="0" w:line="240" w:lineRule="auto"/>
              <w:rPr>
                <w:rFonts w:ascii="Aptos" w:eastAsia="Times New Roman" w:hAnsi="Aptos" w:cs="Times New Roman"/>
                <w:b/>
                <w:bCs/>
                <w:kern w:val="0"/>
                <w:lang w:eastAsia="en-GB"/>
                <w14:ligatures w14:val="none"/>
              </w:rPr>
            </w:pPr>
          </w:p>
        </w:tc>
        <w:tc>
          <w:tcPr>
            <w:tcW w:w="3820" w:type="dxa"/>
            <w:tcBorders>
              <w:top w:val="nil"/>
              <w:left w:val="nil"/>
              <w:bottom w:val="single" w:sz="4" w:space="0" w:color="auto"/>
              <w:right w:val="single" w:sz="4" w:space="0" w:color="auto"/>
            </w:tcBorders>
            <w:vAlign w:val="center"/>
            <w:hideMark/>
          </w:tcPr>
          <w:p w14:paraId="442DFD00" w14:textId="0FCFA2DD" w:rsidR="002D754A" w:rsidRPr="002D754A" w:rsidRDefault="00631C18" w:rsidP="002D754A">
            <w:pPr>
              <w:spacing w:after="0" w:line="240" w:lineRule="auto"/>
              <w:jc w:val="center"/>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Within the </w:t>
            </w:r>
            <w:r w:rsidRPr="002D754A">
              <w:rPr>
                <w:rFonts w:ascii="Aptos" w:eastAsia="Times New Roman" w:hAnsi="Aptos" w:cs="Times New Roman"/>
                <w:color w:val="000000"/>
                <w:kern w:val="0"/>
                <w:lang w:eastAsia="en-GB"/>
                <w14:ligatures w14:val="none"/>
              </w:rPr>
              <w:t>"Practice Comments</w:t>
            </w:r>
            <w:r>
              <w:rPr>
                <w:rFonts w:ascii="Aptos" w:eastAsia="Times New Roman" w:hAnsi="Aptos" w:cs="Times New Roman"/>
                <w:color w:val="000000"/>
                <w:kern w:val="0"/>
                <w:lang w:eastAsia="en-GB"/>
                <w14:ligatures w14:val="none"/>
              </w:rPr>
              <w:t>”</w:t>
            </w:r>
            <w:r w:rsidRPr="002D754A">
              <w:rPr>
                <w:rFonts w:ascii="Aptos" w:eastAsia="Times New Roman" w:hAnsi="Aptos" w:cs="Times New Roman"/>
                <w:color w:val="000000"/>
                <w:kern w:val="0"/>
                <w:lang w:eastAsia="en-GB"/>
                <w14:ligatures w14:val="none"/>
              </w:rPr>
              <w:t xml:space="preserve"> </w:t>
            </w:r>
            <w:r>
              <w:rPr>
                <w:rFonts w:ascii="Aptos" w:eastAsia="Times New Roman" w:hAnsi="Aptos" w:cs="Times New Roman"/>
                <w:color w:val="000000"/>
                <w:kern w:val="0"/>
                <w:lang w:eastAsia="en-GB"/>
                <w14:ligatures w14:val="none"/>
              </w:rPr>
              <w:t>s</w:t>
            </w:r>
            <w:r w:rsidRPr="002D754A">
              <w:rPr>
                <w:rFonts w:ascii="Aptos" w:eastAsia="Times New Roman" w:hAnsi="Aptos" w:cs="Times New Roman"/>
                <w:color w:val="000000"/>
                <w:kern w:val="0"/>
                <w:lang w:eastAsia="en-GB"/>
                <w14:ligatures w14:val="none"/>
              </w:rPr>
              <w:t>ection</w:t>
            </w:r>
            <w:r>
              <w:rPr>
                <w:rFonts w:ascii="Aptos" w:eastAsia="Times New Roman" w:hAnsi="Aptos" w:cs="Times New Roman"/>
                <w:color w:val="000000"/>
                <w:kern w:val="0"/>
                <w:lang w:eastAsia="en-GB"/>
                <w14:ligatures w14:val="none"/>
              </w:rPr>
              <w:t>, p</w:t>
            </w:r>
            <w:r w:rsidR="002D754A" w:rsidRPr="002D754A">
              <w:rPr>
                <w:rFonts w:ascii="Aptos" w:eastAsia="Times New Roman" w:hAnsi="Aptos" w:cs="Times New Roman"/>
                <w:color w:val="000000"/>
                <w:kern w:val="0"/>
                <w:lang w:eastAsia="en-GB"/>
                <w14:ligatures w14:val="none"/>
              </w:rPr>
              <w:t xml:space="preserve">lease provide </w:t>
            </w:r>
            <w:r w:rsidR="00443385">
              <w:rPr>
                <w:rFonts w:ascii="Aptos" w:eastAsia="Times New Roman" w:hAnsi="Aptos" w:cs="Times New Roman"/>
                <w:color w:val="000000"/>
                <w:kern w:val="0"/>
                <w:lang w:eastAsia="en-GB"/>
                <w14:ligatures w14:val="none"/>
              </w:rPr>
              <w:t xml:space="preserve">the </w:t>
            </w:r>
            <w:r w:rsidR="002D754A" w:rsidRPr="002D754A">
              <w:rPr>
                <w:rFonts w:ascii="Aptos" w:eastAsia="Times New Roman" w:hAnsi="Aptos" w:cs="Times New Roman"/>
                <w:color w:val="000000"/>
                <w:kern w:val="0"/>
                <w:lang w:eastAsia="en-GB"/>
                <w14:ligatures w14:val="none"/>
              </w:rPr>
              <w:t>date you last updated the Portal</w:t>
            </w:r>
            <w:r>
              <w:rPr>
                <w:rFonts w:ascii="Aptos" w:eastAsia="Times New Roman" w:hAnsi="Aptos" w:cs="Times New Roman"/>
                <w:color w:val="000000"/>
                <w:kern w:val="0"/>
                <w:lang w:eastAsia="en-GB"/>
                <w14:ligatures w14:val="none"/>
              </w:rPr>
              <w:t>.</w:t>
            </w:r>
            <w:r w:rsidR="002D754A" w:rsidRPr="002D754A">
              <w:rPr>
                <w:rFonts w:ascii="Aptos" w:eastAsia="Times New Roman" w:hAnsi="Aptos" w:cs="Times New Roman"/>
                <w:color w:val="000000"/>
                <w:kern w:val="0"/>
                <w:lang w:eastAsia="en-GB"/>
                <w14:ligatures w14:val="none"/>
              </w:rPr>
              <w:t xml:space="preserve"> </w:t>
            </w:r>
          </w:p>
        </w:tc>
        <w:tc>
          <w:tcPr>
            <w:tcW w:w="2210" w:type="dxa"/>
            <w:tcBorders>
              <w:top w:val="nil"/>
              <w:left w:val="nil"/>
              <w:bottom w:val="single" w:sz="4" w:space="0" w:color="auto"/>
              <w:right w:val="single" w:sz="4" w:space="0" w:color="auto"/>
            </w:tcBorders>
            <w:shd w:val="clear" w:color="auto" w:fill="F2F2F2" w:themeFill="background1" w:themeFillShade="F2"/>
            <w:vAlign w:val="center"/>
            <w:hideMark/>
          </w:tcPr>
          <w:p w14:paraId="334FCE01" w14:textId="351A3192"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p>
        </w:tc>
        <w:tc>
          <w:tcPr>
            <w:tcW w:w="1830" w:type="dxa"/>
            <w:tcBorders>
              <w:top w:val="nil"/>
              <w:left w:val="nil"/>
              <w:bottom w:val="single" w:sz="4" w:space="0" w:color="auto"/>
              <w:right w:val="single" w:sz="4" w:space="0" w:color="auto"/>
            </w:tcBorders>
            <w:vAlign w:val="center"/>
            <w:hideMark/>
          </w:tcPr>
          <w:p w14:paraId="179ED083" w14:textId="55A13680" w:rsidR="002D754A" w:rsidRPr="002D754A" w:rsidRDefault="008570DD" w:rsidP="002D754A">
            <w:pPr>
              <w:spacing w:after="0" w:line="240" w:lineRule="auto"/>
              <w:jc w:val="center"/>
              <w:rPr>
                <w:rFonts w:ascii="Aptos" w:eastAsia="Times New Roman" w:hAnsi="Aptos" w:cs="Times New Roman"/>
                <w:color w:val="000000"/>
                <w:kern w:val="0"/>
                <w:lang w:eastAsia="en-GB"/>
                <w14:ligatures w14:val="none"/>
              </w:rPr>
            </w:pPr>
            <w:r>
              <w:t>Free Text</w:t>
            </w:r>
            <w:r w:rsidR="002D754A" w:rsidRPr="002D754A">
              <w:rPr>
                <w:rFonts w:ascii="Aptos" w:eastAsia="Times New Roman" w:hAnsi="Aptos" w:cs="Times New Roman"/>
                <w:color w:val="000000"/>
                <w:kern w:val="0"/>
                <w:lang w:eastAsia="en-GB"/>
                <w14:ligatures w14:val="none"/>
              </w:rPr>
              <w:t> </w:t>
            </w:r>
          </w:p>
        </w:tc>
      </w:tr>
      <w:tr w:rsidR="002D754A" w:rsidRPr="002D754A" w14:paraId="373B2796" w14:textId="77777777" w:rsidTr="00EB3335">
        <w:trPr>
          <w:trHeight w:val="2010"/>
        </w:trPr>
        <w:tc>
          <w:tcPr>
            <w:tcW w:w="1620" w:type="dxa"/>
            <w:tcBorders>
              <w:top w:val="nil"/>
              <w:left w:val="single" w:sz="4" w:space="0" w:color="auto"/>
              <w:bottom w:val="single" w:sz="4" w:space="0" w:color="auto"/>
              <w:right w:val="single" w:sz="4" w:space="0" w:color="auto"/>
            </w:tcBorders>
            <w:vAlign w:val="center"/>
            <w:hideMark/>
          </w:tcPr>
          <w:p w14:paraId="3D93B003"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lastRenderedPageBreak/>
              <w:t>LSAG Key Compliance Principle 2</w:t>
            </w:r>
          </w:p>
        </w:tc>
        <w:tc>
          <w:tcPr>
            <w:tcW w:w="3820" w:type="dxa"/>
            <w:tcBorders>
              <w:top w:val="nil"/>
              <w:left w:val="nil"/>
              <w:bottom w:val="single" w:sz="4" w:space="0" w:color="auto"/>
              <w:right w:val="single" w:sz="4" w:space="0" w:color="auto"/>
            </w:tcBorders>
            <w:vAlign w:val="center"/>
            <w:hideMark/>
          </w:tcPr>
          <w:p w14:paraId="65D43B34" w14:textId="619BF8D5" w:rsidR="002D754A" w:rsidRPr="002D754A" w:rsidRDefault="004C2CCD" w:rsidP="002D754A">
            <w:pPr>
              <w:spacing w:after="0" w:line="240" w:lineRule="auto"/>
              <w:jc w:val="center"/>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Has the practice a</w:t>
            </w:r>
            <w:r w:rsidR="002D754A" w:rsidRPr="002D754A">
              <w:rPr>
                <w:rFonts w:ascii="Aptos" w:eastAsia="Times New Roman" w:hAnsi="Aptos" w:cs="Times New Roman"/>
                <w:color w:val="000000"/>
                <w:kern w:val="0"/>
                <w:lang w:eastAsia="en-GB"/>
                <w14:ligatures w14:val="none"/>
              </w:rPr>
              <w:t>ppointed a Money Laundering Reporting Officer (MLRO) whose duties include (but are not limited to) receiving internal Suspicious Activity Reports (SARs) and considering whether these SARS should be disclosed to the National Crime Agency (NCA)</w:t>
            </w:r>
            <w:r>
              <w:rPr>
                <w:rFonts w:ascii="Aptos" w:eastAsia="Times New Roman" w:hAnsi="Aptos"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vAlign w:val="center"/>
            <w:hideMark/>
          </w:tcPr>
          <w:p w14:paraId="19F02B1C" w14:textId="3558AFD4" w:rsidR="002D754A" w:rsidRPr="002D754A" w:rsidRDefault="0019644D" w:rsidP="002D754A">
            <w:pPr>
              <w:spacing w:after="0" w:line="240" w:lineRule="auto"/>
              <w:jc w:val="center"/>
              <w:rPr>
                <w:rFonts w:ascii="Aptos" w:eastAsia="Times New Roman" w:hAnsi="Aptos" w:cs="Times New Roman"/>
                <w:color w:val="000000"/>
                <w:kern w:val="0"/>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w:eastAsia="Times New Roman" w:hAnsi="Aptos" w:cs="Times New Roman"/>
                <w:color w:val="000000"/>
                <w:kern w:val="0"/>
                <w:lang w:eastAsia="en-GB"/>
                <w14:ligatures w14:val="none"/>
              </w:rPr>
              <w:t> </w:t>
            </w:r>
          </w:p>
        </w:tc>
        <w:tc>
          <w:tcPr>
            <w:tcW w:w="1830" w:type="dxa"/>
            <w:tcBorders>
              <w:top w:val="nil"/>
              <w:left w:val="nil"/>
              <w:bottom w:val="single" w:sz="4" w:space="0" w:color="auto"/>
              <w:right w:val="single" w:sz="4" w:space="0" w:color="auto"/>
            </w:tcBorders>
            <w:vAlign w:val="center"/>
            <w:hideMark/>
          </w:tcPr>
          <w:p w14:paraId="2DB29642" w14:textId="24B4C18A" w:rsidR="002D754A" w:rsidRPr="002D754A" w:rsidRDefault="008570DD" w:rsidP="002D754A">
            <w:pPr>
              <w:spacing w:after="0" w:line="240" w:lineRule="auto"/>
              <w:jc w:val="center"/>
              <w:rPr>
                <w:rFonts w:ascii="Aptos" w:eastAsia="Times New Roman" w:hAnsi="Aptos" w:cs="Times New Roman"/>
                <w:color w:val="000000"/>
                <w:kern w:val="0"/>
                <w:lang w:eastAsia="en-GB"/>
                <w14:ligatures w14:val="none"/>
              </w:rPr>
            </w:pPr>
            <w:r>
              <w:t>Free Text</w:t>
            </w:r>
            <w:r w:rsidR="002D754A" w:rsidRPr="002D754A">
              <w:rPr>
                <w:rFonts w:ascii="Aptos" w:eastAsia="Times New Roman" w:hAnsi="Aptos" w:cs="Times New Roman"/>
                <w:color w:val="000000"/>
                <w:kern w:val="0"/>
                <w:lang w:eastAsia="en-GB"/>
                <w14:ligatures w14:val="none"/>
              </w:rPr>
              <w:t> </w:t>
            </w:r>
          </w:p>
        </w:tc>
      </w:tr>
      <w:tr w:rsidR="002D754A" w:rsidRPr="002D754A" w14:paraId="4A99AAA5" w14:textId="77777777" w:rsidTr="00EB3335">
        <w:trPr>
          <w:trHeight w:val="1170"/>
        </w:trPr>
        <w:tc>
          <w:tcPr>
            <w:tcW w:w="1620" w:type="dxa"/>
            <w:tcBorders>
              <w:top w:val="nil"/>
              <w:left w:val="single" w:sz="4" w:space="0" w:color="auto"/>
              <w:bottom w:val="single" w:sz="4" w:space="0" w:color="auto"/>
              <w:right w:val="single" w:sz="4" w:space="0" w:color="auto"/>
            </w:tcBorders>
            <w:vAlign w:val="center"/>
            <w:hideMark/>
          </w:tcPr>
          <w:p w14:paraId="736A7583"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3</w:t>
            </w:r>
          </w:p>
        </w:tc>
        <w:tc>
          <w:tcPr>
            <w:tcW w:w="3820" w:type="dxa"/>
            <w:tcBorders>
              <w:top w:val="nil"/>
              <w:left w:val="nil"/>
              <w:bottom w:val="single" w:sz="4" w:space="0" w:color="auto"/>
              <w:right w:val="single" w:sz="4" w:space="0" w:color="auto"/>
            </w:tcBorders>
            <w:vAlign w:val="center"/>
            <w:hideMark/>
          </w:tcPr>
          <w:p w14:paraId="562B227E" w14:textId="77777777"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r w:rsidRPr="002D754A">
              <w:rPr>
                <w:rFonts w:ascii="Aptos" w:eastAsia="Times New Roman" w:hAnsi="Aptos" w:cs="Times New Roman"/>
                <w:color w:val="000000"/>
                <w:kern w:val="0"/>
                <w:lang w:eastAsia="en-GB"/>
                <w14:ligatures w14:val="none"/>
              </w:rPr>
              <w:t xml:space="preserve">Where appropriate to the size and nature of the firm, has a Money Laundering Compliance Officer (MLCO) been appointed? </w:t>
            </w:r>
          </w:p>
        </w:tc>
        <w:tc>
          <w:tcPr>
            <w:tcW w:w="2210" w:type="dxa"/>
            <w:tcBorders>
              <w:top w:val="nil"/>
              <w:left w:val="nil"/>
              <w:bottom w:val="single" w:sz="4" w:space="0" w:color="auto"/>
              <w:right w:val="single" w:sz="4" w:space="0" w:color="auto"/>
            </w:tcBorders>
            <w:noWrap/>
            <w:vAlign w:val="center"/>
            <w:hideMark/>
          </w:tcPr>
          <w:p w14:paraId="4FD71802" w14:textId="06E20DC7"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09C0F592" w14:textId="323A887F"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p>
        </w:tc>
      </w:tr>
      <w:tr w:rsidR="002D754A" w:rsidRPr="002D754A" w14:paraId="1BB603D4" w14:textId="77777777" w:rsidTr="00EB3335">
        <w:trPr>
          <w:trHeight w:val="1455"/>
        </w:trPr>
        <w:tc>
          <w:tcPr>
            <w:tcW w:w="1620" w:type="dxa"/>
            <w:tcBorders>
              <w:top w:val="nil"/>
              <w:left w:val="single" w:sz="4" w:space="0" w:color="auto"/>
              <w:bottom w:val="single" w:sz="4" w:space="0" w:color="auto"/>
              <w:right w:val="single" w:sz="4" w:space="0" w:color="auto"/>
            </w:tcBorders>
            <w:vAlign w:val="center"/>
            <w:hideMark/>
          </w:tcPr>
          <w:p w14:paraId="04345629"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4</w:t>
            </w:r>
          </w:p>
        </w:tc>
        <w:tc>
          <w:tcPr>
            <w:tcW w:w="3820" w:type="dxa"/>
            <w:tcBorders>
              <w:top w:val="nil"/>
              <w:left w:val="nil"/>
              <w:bottom w:val="single" w:sz="4" w:space="0" w:color="auto"/>
              <w:right w:val="single" w:sz="4" w:space="0" w:color="auto"/>
            </w:tcBorders>
            <w:vAlign w:val="center"/>
            <w:hideMark/>
          </w:tcPr>
          <w:p w14:paraId="2003374C" w14:textId="1FE16E68" w:rsidR="002D754A" w:rsidRPr="00AF24BC" w:rsidRDefault="002D754A" w:rsidP="002D754A">
            <w:pPr>
              <w:spacing w:after="0" w:line="240" w:lineRule="auto"/>
              <w:jc w:val="center"/>
              <w:rPr>
                <w:rFonts w:ascii="Aptos" w:eastAsia="Times New Roman" w:hAnsi="Aptos" w:cs="Times New Roman"/>
                <w:kern w:val="0"/>
                <w:lang w:eastAsia="en-GB"/>
                <w14:ligatures w14:val="none"/>
              </w:rPr>
            </w:pPr>
            <w:r w:rsidRPr="002D754A">
              <w:rPr>
                <w:rFonts w:ascii="Aptos" w:eastAsia="Times New Roman" w:hAnsi="Aptos" w:cs="Times New Roman"/>
                <w:color w:val="000000"/>
                <w:kern w:val="0"/>
                <w:lang w:eastAsia="en-GB"/>
                <w14:ligatures w14:val="none"/>
              </w:rPr>
              <w:t xml:space="preserve">Where an MLCO has been appointed and the MLCO delegates </w:t>
            </w:r>
            <w:r w:rsidR="00244769">
              <w:rPr>
                <w:rFonts w:ascii="Aptos" w:eastAsia="Times New Roman" w:hAnsi="Aptos" w:cs="Times New Roman"/>
                <w:color w:val="000000"/>
                <w:kern w:val="0"/>
                <w:lang w:eastAsia="en-GB"/>
                <w14:ligatures w14:val="none"/>
              </w:rPr>
              <w:t xml:space="preserve">the operational </w:t>
            </w:r>
            <w:r w:rsidR="002C19D3">
              <w:rPr>
                <w:rFonts w:ascii="Aptos" w:eastAsia="Times New Roman" w:hAnsi="Aptos" w:cs="Times New Roman"/>
                <w:color w:val="000000"/>
                <w:kern w:val="0"/>
                <w:lang w:eastAsia="en-GB"/>
                <w14:ligatures w14:val="none"/>
              </w:rPr>
              <w:t>day-to-</w:t>
            </w:r>
            <w:r w:rsidR="00244769">
              <w:rPr>
                <w:rFonts w:ascii="Aptos" w:eastAsia="Times New Roman" w:hAnsi="Aptos" w:cs="Times New Roman"/>
                <w:color w:val="000000"/>
                <w:kern w:val="0"/>
                <w:lang w:eastAsia="en-GB"/>
                <w14:ligatures w14:val="none"/>
              </w:rPr>
              <w:t xml:space="preserve">day </w:t>
            </w:r>
            <w:r w:rsidR="00244769" w:rsidRPr="00AF24BC">
              <w:rPr>
                <w:rFonts w:ascii="Aptos" w:eastAsia="Times New Roman" w:hAnsi="Aptos" w:cs="Times New Roman"/>
                <w:kern w:val="0"/>
                <w:lang w:eastAsia="en-GB"/>
                <w14:ligatures w14:val="none"/>
              </w:rPr>
              <w:t>compliance</w:t>
            </w:r>
            <w:r w:rsidRPr="00AF24BC">
              <w:rPr>
                <w:rFonts w:ascii="Aptos" w:eastAsia="Times New Roman" w:hAnsi="Aptos" w:cs="Times New Roman"/>
                <w:kern w:val="0"/>
                <w:lang w:eastAsia="en-GB"/>
                <w14:ligatures w14:val="none"/>
              </w:rPr>
              <w:t xml:space="preserve"> to the MLRO, have the delegated </w:t>
            </w:r>
            <w:r w:rsidR="00766965" w:rsidRPr="00AF24BC">
              <w:rPr>
                <w:rFonts w:ascii="Aptos" w:eastAsia="Times New Roman" w:hAnsi="Aptos" w:cs="Times New Roman"/>
                <w:kern w:val="0"/>
                <w:lang w:eastAsia="en-GB"/>
                <w14:ligatures w14:val="none"/>
              </w:rPr>
              <w:t>activities</w:t>
            </w:r>
            <w:r w:rsidRPr="00AF24BC">
              <w:rPr>
                <w:rFonts w:ascii="Aptos" w:eastAsia="Times New Roman" w:hAnsi="Aptos" w:cs="Times New Roman"/>
                <w:kern w:val="0"/>
                <w:lang w:eastAsia="en-GB"/>
                <w14:ligatures w14:val="none"/>
              </w:rPr>
              <w:t xml:space="preserve"> been documented</w:t>
            </w:r>
            <w:r w:rsidR="002C706B" w:rsidRPr="00AF24BC">
              <w:rPr>
                <w:rFonts w:ascii="Aptos" w:eastAsia="Times New Roman" w:hAnsi="Aptos" w:cs="Times New Roman"/>
                <w:kern w:val="0"/>
                <w:lang w:eastAsia="en-GB"/>
                <w14:ligatures w14:val="none"/>
              </w:rPr>
              <w:t xml:space="preserve"> within the Policies, Controls and Procedures</w:t>
            </w:r>
            <w:r w:rsidRPr="00AF24BC">
              <w:rPr>
                <w:rFonts w:ascii="Aptos" w:eastAsia="Times New Roman" w:hAnsi="Aptos" w:cs="Times New Roman"/>
                <w:kern w:val="0"/>
                <w:lang w:eastAsia="en-GB"/>
                <w14:ligatures w14:val="none"/>
              </w:rPr>
              <w:t>?</w:t>
            </w:r>
            <w:r w:rsidR="00244769" w:rsidRPr="00AF24BC">
              <w:rPr>
                <w:rFonts w:ascii="Aptos" w:eastAsia="Times New Roman" w:hAnsi="Aptos" w:cs="Times New Roman"/>
                <w:kern w:val="0"/>
                <w:lang w:eastAsia="en-GB"/>
                <w14:ligatures w14:val="none"/>
              </w:rPr>
              <w:t xml:space="preserve"> </w:t>
            </w:r>
          </w:p>
          <w:p w14:paraId="66DA0AAE" w14:textId="119F266A" w:rsidR="00244769" w:rsidRPr="002D754A" w:rsidRDefault="00244769" w:rsidP="002D754A">
            <w:pPr>
              <w:spacing w:after="0" w:line="240" w:lineRule="auto"/>
              <w:jc w:val="center"/>
              <w:rPr>
                <w:rFonts w:ascii="Aptos" w:eastAsia="Times New Roman" w:hAnsi="Aptos" w:cs="Times New Roman"/>
                <w:color w:val="000000"/>
                <w:kern w:val="0"/>
                <w:lang w:eastAsia="en-GB"/>
                <w14:ligatures w14:val="none"/>
              </w:rPr>
            </w:pPr>
            <w:r w:rsidRPr="00AF24BC">
              <w:rPr>
                <w:rFonts w:ascii="Aptos" w:eastAsia="Times New Roman" w:hAnsi="Aptos" w:cs="Times New Roman"/>
                <w:kern w:val="0"/>
                <w:lang w:eastAsia="en-GB"/>
                <w14:ligatures w14:val="none"/>
              </w:rPr>
              <w:t>Please note that the MLCO cannot delegate responsibilit</w:t>
            </w:r>
            <w:r w:rsidR="00326372" w:rsidRPr="00AF24BC">
              <w:rPr>
                <w:rFonts w:ascii="Aptos" w:eastAsia="Times New Roman" w:hAnsi="Aptos" w:cs="Times New Roman"/>
                <w:kern w:val="0"/>
                <w:lang w:eastAsia="en-GB"/>
                <w14:ligatures w14:val="none"/>
              </w:rPr>
              <w:t>y</w:t>
            </w:r>
            <w:r w:rsidRPr="00AF24BC">
              <w:rPr>
                <w:rFonts w:ascii="Aptos" w:eastAsia="Times New Roman" w:hAnsi="Aptos" w:cs="Times New Roman"/>
                <w:kern w:val="0"/>
                <w:lang w:eastAsia="en-GB"/>
                <w14:ligatures w14:val="none"/>
              </w:rPr>
              <w:t xml:space="preserve"> / accountability. </w:t>
            </w:r>
          </w:p>
        </w:tc>
        <w:tc>
          <w:tcPr>
            <w:tcW w:w="2210" w:type="dxa"/>
            <w:tcBorders>
              <w:top w:val="nil"/>
              <w:left w:val="nil"/>
              <w:bottom w:val="single" w:sz="4" w:space="0" w:color="auto"/>
              <w:right w:val="single" w:sz="4" w:space="0" w:color="auto"/>
            </w:tcBorders>
            <w:noWrap/>
            <w:vAlign w:val="center"/>
            <w:hideMark/>
          </w:tcPr>
          <w:p w14:paraId="55D8A05B" w14:textId="29373CBF"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728CB984" w14:textId="0A932CE8"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0F80D595" w14:textId="77777777" w:rsidTr="00EB3335">
        <w:trPr>
          <w:trHeight w:val="1515"/>
        </w:trPr>
        <w:tc>
          <w:tcPr>
            <w:tcW w:w="1620" w:type="dxa"/>
            <w:tcBorders>
              <w:top w:val="nil"/>
              <w:left w:val="single" w:sz="4" w:space="0" w:color="auto"/>
              <w:bottom w:val="single" w:sz="4" w:space="0" w:color="auto"/>
              <w:right w:val="single" w:sz="4" w:space="0" w:color="auto"/>
            </w:tcBorders>
            <w:vAlign w:val="center"/>
            <w:hideMark/>
          </w:tcPr>
          <w:p w14:paraId="30BD8DB2"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5</w:t>
            </w:r>
          </w:p>
        </w:tc>
        <w:tc>
          <w:tcPr>
            <w:tcW w:w="3820" w:type="dxa"/>
            <w:tcBorders>
              <w:top w:val="nil"/>
              <w:left w:val="nil"/>
              <w:bottom w:val="single" w:sz="4" w:space="0" w:color="auto"/>
              <w:right w:val="single" w:sz="4" w:space="0" w:color="auto"/>
            </w:tcBorders>
            <w:vAlign w:val="center"/>
            <w:hideMark/>
          </w:tcPr>
          <w:p w14:paraId="72F1A98C" w14:textId="77777777"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r w:rsidRPr="002D754A">
              <w:rPr>
                <w:rFonts w:ascii="Aptos" w:eastAsia="Times New Roman" w:hAnsi="Aptos" w:cs="Times New Roman"/>
                <w:color w:val="000000"/>
                <w:kern w:val="0"/>
                <w:lang w:eastAsia="en-GB"/>
                <w14:ligatures w14:val="none"/>
              </w:rPr>
              <w:t>Have the AML duties and responsibilities of all Partners and Employees been documented either within the Policies, Controls and Procedures (PCPs) or separately?</w:t>
            </w:r>
          </w:p>
        </w:tc>
        <w:tc>
          <w:tcPr>
            <w:tcW w:w="2210" w:type="dxa"/>
            <w:tcBorders>
              <w:top w:val="nil"/>
              <w:left w:val="nil"/>
              <w:bottom w:val="single" w:sz="4" w:space="0" w:color="auto"/>
              <w:right w:val="single" w:sz="4" w:space="0" w:color="auto"/>
            </w:tcBorders>
            <w:noWrap/>
            <w:vAlign w:val="center"/>
            <w:hideMark/>
          </w:tcPr>
          <w:p w14:paraId="3C024F6E" w14:textId="081A1B81"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3FADF445" w14:textId="51E4B696"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p>
        </w:tc>
      </w:tr>
      <w:tr w:rsidR="002D754A" w:rsidRPr="002D754A" w14:paraId="7D43C9F1" w14:textId="77777777" w:rsidTr="00EB3335">
        <w:trPr>
          <w:trHeight w:val="1350"/>
        </w:trPr>
        <w:tc>
          <w:tcPr>
            <w:tcW w:w="1620" w:type="dxa"/>
            <w:tcBorders>
              <w:top w:val="nil"/>
              <w:left w:val="single" w:sz="4" w:space="0" w:color="auto"/>
              <w:bottom w:val="single" w:sz="4" w:space="0" w:color="auto"/>
              <w:right w:val="single" w:sz="4" w:space="0" w:color="auto"/>
            </w:tcBorders>
            <w:vAlign w:val="center"/>
            <w:hideMark/>
          </w:tcPr>
          <w:p w14:paraId="5C8E78CA"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6</w:t>
            </w:r>
          </w:p>
        </w:tc>
        <w:tc>
          <w:tcPr>
            <w:tcW w:w="3820" w:type="dxa"/>
            <w:tcBorders>
              <w:top w:val="nil"/>
              <w:left w:val="nil"/>
              <w:bottom w:val="single" w:sz="4" w:space="0" w:color="auto"/>
              <w:right w:val="single" w:sz="4" w:space="0" w:color="auto"/>
            </w:tcBorders>
            <w:vAlign w:val="center"/>
            <w:hideMark/>
          </w:tcPr>
          <w:p w14:paraId="60BCB80B" w14:textId="34CE4263"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r w:rsidRPr="002D754A">
              <w:rPr>
                <w:rFonts w:ascii="Aptos" w:eastAsia="Times New Roman" w:hAnsi="Aptos" w:cs="Times New Roman"/>
                <w:color w:val="000000"/>
                <w:kern w:val="0"/>
                <w:lang w:eastAsia="en-GB"/>
                <w14:ligatures w14:val="none"/>
              </w:rPr>
              <w:t xml:space="preserve">Have the </w:t>
            </w:r>
            <w:r w:rsidR="002C19D3">
              <w:rPr>
                <w:rFonts w:ascii="Aptos" w:eastAsia="Times New Roman" w:hAnsi="Aptos" w:cs="Times New Roman"/>
                <w:color w:val="000000"/>
                <w:kern w:val="0"/>
                <w:lang w:eastAsia="en-GB"/>
                <w14:ligatures w14:val="none"/>
              </w:rPr>
              <w:t>p</w:t>
            </w:r>
            <w:r w:rsidR="002C19D3" w:rsidRPr="002D754A">
              <w:rPr>
                <w:rFonts w:ascii="Aptos" w:eastAsia="Times New Roman" w:hAnsi="Aptos" w:cs="Times New Roman"/>
                <w:color w:val="000000"/>
                <w:kern w:val="0"/>
                <w:lang w:eastAsia="en-GB"/>
                <w14:ligatures w14:val="none"/>
              </w:rPr>
              <w:t xml:space="preserve">ractice's </w:t>
            </w:r>
            <w:r w:rsidRPr="002D754A">
              <w:rPr>
                <w:rFonts w:ascii="Aptos" w:eastAsia="Times New Roman" w:hAnsi="Aptos" w:cs="Times New Roman"/>
                <w:color w:val="000000"/>
                <w:kern w:val="0"/>
                <w:lang w:eastAsia="en-GB"/>
                <w14:ligatures w14:val="none"/>
              </w:rPr>
              <w:t xml:space="preserve">PCPs been approved by and signed off by senior management and/or the board, and the approval documented in writing? </w:t>
            </w:r>
          </w:p>
        </w:tc>
        <w:tc>
          <w:tcPr>
            <w:tcW w:w="2210" w:type="dxa"/>
            <w:tcBorders>
              <w:top w:val="nil"/>
              <w:left w:val="nil"/>
              <w:bottom w:val="single" w:sz="4" w:space="0" w:color="auto"/>
              <w:right w:val="single" w:sz="4" w:space="0" w:color="auto"/>
            </w:tcBorders>
            <w:noWrap/>
            <w:vAlign w:val="center"/>
            <w:hideMark/>
          </w:tcPr>
          <w:p w14:paraId="42ED75F5" w14:textId="00D91992"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2AD30A6D" w14:textId="4E3D6ECF"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2BB99775" w14:textId="77777777" w:rsidTr="00EB3335">
        <w:trPr>
          <w:trHeight w:val="1755"/>
        </w:trPr>
        <w:tc>
          <w:tcPr>
            <w:tcW w:w="1620" w:type="dxa"/>
            <w:tcBorders>
              <w:top w:val="nil"/>
              <w:left w:val="single" w:sz="4" w:space="0" w:color="auto"/>
              <w:bottom w:val="single" w:sz="4" w:space="0" w:color="auto"/>
              <w:right w:val="single" w:sz="4" w:space="0" w:color="auto"/>
            </w:tcBorders>
            <w:vAlign w:val="center"/>
            <w:hideMark/>
          </w:tcPr>
          <w:p w14:paraId="2CA7144B"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7</w:t>
            </w:r>
          </w:p>
        </w:tc>
        <w:tc>
          <w:tcPr>
            <w:tcW w:w="3820" w:type="dxa"/>
            <w:tcBorders>
              <w:top w:val="nil"/>
              <w:left w:val="nil"/>
              <w:bottom w:val="single" w:sz="4" w:space="0" w:color="auto"/>
              <w:right w:val="single" w:sz="4" w:space="0" w:color="auto"/>
            </w:tcBorders>
            <w:vAlign w:val="center"/>
            <w:hideMark/>
          </w:tcPr>
          <w:p w14:paraId="20C250E6" w14:textId="2AE57E95" w:rsidR="002D754A" w:rsidRPr="002D754A" w:rsidRDefault="009D1273" w:rsidP="002D754A">
            <w:pPr>
              <w:spacing w:after="0" w:line="240" w:lineRule="auto"/>
              <w:jc w:val="center"/>
              <w:rPr>
                <w:rFonts w:ascii="Aptos" w:eastAsia="Times New Roman" w:hAnsi="Aptos" w:cs="Times New Roman"/>
                <w:color w:val="000000"/>
                <w:kern w:val="0"/>
                <w:lang w:eastAsia="en-GB"/>
                <w14:ligatures w14:val="none"/>
              </w:rPr>
            </w:pPr>
            <w:r w:rsidRPr="009D1273">
              <w:rPr>
                <w:rFonts w:ascii="Aptos" w:eastAsia="Times New Roman" w:hAnsi="Aptos" w:cs="Times New Roman"/>
                <w:color w:val="000000"/>
                <w:kern w:val="0"/>
                <w:lang w:eastAsia="en-GB"/>
                <w14:ligatures w14:val="none"/>
              </w:rPr>
              <w:t>Does senior management and/or the board have effective mechanisms in place to monitor compliance with the PCPs, and to ensure that all AML</w:t>
            </w:r>
            <w:r w:rsidRPr="009D1273">
              <w:rPr>
                <w:rFonts w:ascii="Aptos" w:eastAsia="Times New Roman" w:hAnsi="Aptos" w:cs="Times New Roman"/>
                <w:color w:val="000000"/>
                <w:kern w:val="0"/>
                <w:lang w:eastAsia="en-GB"/>
                <w14:ligatures w14:val="none"/>
              </w:rPr>
              <w:noBreakHyphen/>
              <w:t>related discussions and decisions are properly documented?</w:t>
            </w:r>
          </w:p>
        </w:tc>
        <w:tc>
          <w:tcPr>
            <w:tcW w:w="2210" w:type="dxa"/>
            <w:tcBorders>
              <w:top w:val="nil"/>
              <w:left w:val="nil"/>
              <w:bottom w:val="single" w:sz="4" w:space="0" w:color="auto"/>
              <w:right w:val="single" w:sz="4" w:space="0" w:color="auto"/>
            </w:tcBorders>
            <w:noWrap/>
            <w:vAlign w:val="center"/>
            <w:hideMark/>
          </w:tcPr>
          <w:p w14:paraId="59A63E40" w14:textId="23B6AEE9"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59AF0E04" w14:textId="25D0DEA2"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686F68A0" w14:textId="77777777" w:rsidTr="00EB3335">
        <w:trPr>
          <w:trHeight w:val="1035"/>
        </w:trPr>
        <w:tc>
          <w:tcPr>
            <w:tcW w:w="1620" w:type="dxa"/>
            <w:tcBorders>
              <w:top w:val="nil"/>
              <w:left w:val="single" w:sz="4" w:space="0" w:color="auto"/>
              <w:bottom w:val="single" w:sz="4" w:space="0" w:color="auto"/>
              <w:right w:val="single" w:sz="4" w:space="0" w:color="auto"/>
            </w:tcBorders>
            <w:vAlign w:val="center"/>
            <w:hideMark/>
          </w:tcPr>
          <w:p w14:paraId="09F41B7B"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8</w:t>
            </w:r>
          </w:p>
        </w:tc>
        <w:tc>
          <w:tcPr>
            <w:tcW w:w="3820" w:type="dxa"/>
            <w:tcBorders>
              <w:top w:val="nil"/>
              <w:left w:val="nil"/>
              <w:bottom w:val="single" w:sz="4" w:space="0" w:color="auto"/>
              <w:right w:val="single" w:sz="4" w:space="0" w:color="auto"/>
            </w:tcBorders>
            <w:vAlign w:val="center"/>
            <w:hideMark/>
          </w:tcPr>
          <w:p w14:paraId="74CEE518" w14:textId="77777777"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r w:rsidRPr="002D754A">
              <w:rPr>
                <w:rFonts w:ascii="Aptos" w:eastAsia="Times New Roman" w:hAnsi="Aptos" w:cs="Times New Roman"/>
                <w:color w:val="000000"/>
                <w:kern w:val="0"/>
                <w:lang w:eastAsia="en-GB"/>
                <w14:ligatures w14:val="none"/>
              </w:rPr>
              <w:t>Has the practice allocated adequate and competent resources (staff, time, budget, technology, and training) to manage AML risks? </w:t>
            </w:r>
          </w:p>
        </w:tc>
        <w:tc>
          <w:tcPr>
            <w:tcW w:w="2210" w:type="dxa"/>
            <w:tcBorders>
              <w:top w:val="nil"/>
              <w:left w:val="nil"/>
              <w:bottom w:val="single" w:sz="4" w:space="0" w:color="auto"/>
              <w:right w:val="single" w:sz="4" w:space="0" w:color="auto"/>
            </w:tcBorders>
            <w:noWrap/>
            <w:vAlign w:val="center"/>
            <w:hideMark/>
          </w:tcPr>
          <w:p w14:paraId="4037B863" w14:textId="3260F551"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34A992BF" w14:textId="7BBF25BA"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p>
        </w:tc>
      </w:tr>
      <w:tr w:rsidR="002D754A" w:rsidRPr="002D754A" w14:paraId="769441E9" w14:textId="77777777" w:rsidTr="00EB3335">
        <w:trPr>
          <w:trHeight w:val="1575"/>
        </w:trPr>
        <w:tc>
          <w:tcPr>
            <w:tcW w:w="1620" w:type="dxa"/>
            <w:tcBorders>
              <w:top w:val="nil"/>
              <w:left w:val="single" w:sz="4" w:space="0" w:color="auto"/>
              <w:bottom w:val="single" w:sz="4" w:space="0" w:color="auto"/>
              <w:right w:val="single" w:sz="4" w:space="0" w:color="auto"/>
            </w:tcBorders>
            <w:vAlign w:val="center"/>
            <w:hideMark/>
          </w:tcPr>
          <w:p w14:paraId="150DA7A8"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lastRenderedPageBreak/>
              <w:t>LSAG Key Compliance Principle 9</w:t>
            </w:r>
          </w:p>
        </w:tc>
        <w:tc>
          <w:tcPr>
            <w:tcW w:w="3820" w:type="dxa"/>
            <w:tcBorders>
              <w:top w:val="nil"/>
              <w:left w:val="nil"/>
              <w:bottom w:val="single" w:sz="4" w:space="0" w:color="auto"/>
              <w:right w:val="single" w:sz="4" w:space="0" w:color="auto"/>
            </w:tcBorders>
            <w:vAlign w:val="center"/>
            <w:hideMark/>
          </w:tcPr>
          <w:p w14:paraId="47E5903A" w14:textId="639FD288" w:rsidR="002D754A" w:rsidRPr="002D754A" w:rsidRDefault="002D754A" w:rsidP="002D754A">
            <w:pPr>
              <w:spacing w:after="0" w:line="240" w:lineRule="auto"/>
              <w:jc w:val="center"/>
              <w:rPr>
                <w:rFonts w:ascii="Aptos" w:eastAsia="Times New Roman" w:hAnsi="Aptos" w:cs="Times New Roman"/>
                <w:color w:val="000000"/>
                <w:kern w:val="0"/>
                <w:lang w:eastAsia="en-GB"/>
                <w14:ligatures w14:val="none"/>
              </w:rPr>
            </w:pPr>
            <w:r w:rsidRPr="002D754A">
              <w:rPr>
                <w:rFonts w:ascii="Aptos" w:eastAsia="Times New Roman" w:hAnsi="Aptos" w:cs="Times New Roman"/>
                <w:color w:val="000000"/>
                <w:kern w:val="0"/>
                <w:lang w:eastAsia="en-GB"/>
                <w14:ligatures w14:val="none"/>
              </w:rPr>
              <w:t xml:space="preserve">Does the </w:t>
            </w:r>
            <w:r w:rsidR="002C19D3">
              <w:rPr>
                <w:rFonts w:ascii="Aptos" w:eastAsia="Times New Roman" w:hAnsi="Aptos" w:cs="Times New Roman"/>
                <w:color w:val="000000"/>
                <w:kern w:val="0"/>
                <w:lang w:eastAsia="en-GB"/>
                <w14:ligatures w14:val="none"/>
              </w:rPr>
              <w:t>p</w:t>
            </w:r>
            <w:r w:rsidR="002C19D3" w:rsidRPr="002D754A">
              <w:rPr>
                <w:rFonts w:ascii="Aptos" w:eastAsia="Times New Roman" w:hAnsi="Aptos" w:cs="Times New Roman"/>
                <w:color w:val="000000"/>
                <w:kern w:val="0"/>
                <w:lang w:eastAsia="en-GB"/>
                <w14:ligatures w14:val="none"/>
              </w:rPr>
              <w:t xml:space="preserve">ractice </w:t>
            </w:r>
            <w:r w:rsidRPr="002D754A">
              <w:rPr>
                <w:rFonts w:ascii="Aptos" w:eastAsia="Times New Roman" w:hAnsi="Aptos" w:cs="Times New Roman"/>
                <w:color w:val="000000"/>
                <w:kern w:val="0"/>
                <w:lang w:eastAsia="en-GB"/>
                <w14:ligatures w14:val="none"/>
              </w:rPr>
              <w:t xml:space="preserve">have a documented </w:t>
            </w:r>
            <w:r w:rsidR="002C19D3">
              <w:rPr>
                <w:rFonts w:ascii="Aptos" w:eastAsia="Times New Roman" w:hAnsi="Aptos" w:cs="Times New Roman"/>
                <w:color w:val="000000"/>
                <w:kern w:val="0"/>
                <w:lang w:eastAsia="en-GB"/>
                <w14:ligatures w14:val="none"/>
              </w:rPr>
              <w:t>p</w:t>
            </w:r>
            <w:r w:rsidR="002C19D3" w:rsidRPr="002D754A">
              <w:rPr>
                <w:rFonts w:ascii="Aptos" w:eastAsia="Times New Roman" w:hAnsi="Aptos" w:cs="Times New Roman"/>
                <w:color w:val="000000"/>
                <w:kern w:val="0"/>
                <w:lang w:eastAsia="en-GB"/>
                <w14:ligatures w14:val="none"/>
              </w:rPr>
              <w:t xml:space="preserve">rocedure </w:t>
            </w:r>
            <w:r w:rsidRPr="002D754A">
              <w:rPr>
                <w:rFonts w:ascii="Aptos" w:eastAsia="Times New Roman" w:hAnsi="Aptos" w:cs="Times New Roman"/>
                <w:color w:val="000000"/>
                <w:kern w:val="0"/>
                <w:lang w:eastAsia="en-GB"/>
                <w14:ligatures w14:val="none"/>
              </w:rPr>
              <w:t>(including robust, easily accessible record keeping) in place to ensure comprehensive and timely reporting, and submissions to supervisory authorities can be managed</w:t>
            </w:r>
            <w:r w:rsidR="00A07DB8">
              <w:rPr>
                <w:rFonts w:ascii="Aptos" w:eastAsia="Times New Roman" w:hAnsi="Aptos"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4CDAE3C0" w14:textId="4CAFED25"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04601F0F" w14:textId="6F174EBF"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24D80B9D" w14:textId="77777777" w:rsidTr="002D754A">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30B18214" w14:textId="77777777" w:rsidR="002D754A" w:rsidRPr="00131690" w:rsidRDefault="002D754A" w:rsidP="002D754A">
            <w:pPr>
              <w:spacing w:after="0" w:line="240" w:lineRule="auto"/>
              <w:jc w:val="center"/>
              <w:rPr>
                <w:rFonts w:ascii="Aptos" w:eastAsia="Times New Roman" w:hAnsi="Aptos" w:cs="Times New Roman"/>
                <w:b/>
                <w:bCs/>
                <w:color w:val="000000"/>
                <w:kern w:val="0"/>
                <w:lang w:eastAsia="en-GB"/>
                <w14:ligatures w14:val="none"/>
              </w:rPr>
            </w:pPr>
            <w:r w:rsidRPr="00131690">
              <w:rPr>
                <w:rFonts w:ascii="Aptos" w:eastAsia="Times New Roman" w:hAnsi="Aptos" w:cs="Times New Roman"/>
                <w:b/>
                <w:bCs/>
                <w:kern w:val="0"/>
                <w:lang w:eastAsia="en-GB"/>
                <w14:ligatures w14:val="none"/>
              </w:rPr>
              <w:t>Practice Wide Risk Assessment</w:t>
            </w:r>
          </w:p>
        </w:tc>
      </w:tr>
      <w:tr w:rsidR="002D754A" w:rsidRPr="002D754A" w14:paraId="36D5565C" w14:textId="77777777" w:rsidTr="00EB3335">
        <w:trPr>
          <w:trHeight w:val="630"/>
        </w:trPr>
        <w:tc>
          <w:tcPr>
            <w:tcW w:w="1620" w:type="dxa"/>
            <w:vMerge w:val="restart"/>
            <w:tcBorders>
              <w:top w:val="nil"/>
              <w:left w:val="single" w:sz="4" w:space="0" w:color="auto"/>
              <w:bottom w:val="single" w:sz="4" w:space="0" w:color="000000"/>
              <w:right w:val="single" w:sz="4" w:space="0" w:color="auto"/>
            </w:tcBorders>
            <w:vAlign w:val="center"/>
            <w:hideMark/>
          </w:tcPr>
          <w:p w14:paraId="0F42516B"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10</w:t>
            </w:r>
          </w:p>
        </w:tc>
        <w:tc>
          <w:tcPr>
            <w:tcW w:w="3820" w:type="dxa"/>
            <w:tcBorders>
              <w:top w:val="nil"/>
              <w:left w:val="nil"/>
              <w:bottom w:val="single" w:sz="4" w:space="0" w:color="auto"/>
              <w:right w:val="single" w:sz="4" w:space="0" w:color="auto"/>
            </w:tcBorders>
            <w:vAlign w:val="center"/>
            <w:hideMark/>
          </w:tcPr>
          <w:p w14:paraId="7E3A1F01" w14:textId="5D341006" w:rsidR="002D754A" w:rsidRPr="002D754A" w:rsidRDefault="002D754A" w:rsidP="002D754A">
            <w:pPr>
              <w:spacing w:after="0" w:line="240" w:lineRule="auto"/>
              <w:jc w:val="center"/>
              <w:rPr>
                <w:rFonts w:ascii="Aptos" w:eastAsia="Times New Roman" w:hAnsi="Aptos" w:cs="Times New Roman"/>
                <w:kern w:val="0"/>
                <w:lang w:eastAsia="en-GB"/>
                <w14:ligatures w14:val="none"/>
              </w:rPr>
            </w:pPr>
            <w:r w:rsidRPr="002D754A">
              <w:rPr>
                <w:rFonts w:ascii="Aptos" w:eastAsia="Times New Roman" w:hAnsi="Aptos" w:cs="Times New Roman"/>
                <w:kern w:val="0"/>
                <w:lang w:eastAsia="en-GB"/>
                <w14:ligatures w14:val="none"/>
              </w:rPr>
              <w:t xml:space="preserve">Does the </w:t>
            </w:r>
            <w:r w:rsidR="002C19D3">
              <w:rPr>
                <w:rFonts w:ascii="Aptos" w:eastAsia="Times New Roman" w:hAnsi="Aptos" w:cs="Times New Roman"/>
                <w:kern w:val="0"/>
                <w:lang w:eastAsia="en-GB"/>
                <w14:ligatures w14:val="none"/>
              </w:rPr>
              <w:t>p</w:t>
            </w:r>
            <w:r w:rsidR="002C19D3" w:rsidRPr="002D754A">
              <w:rPr>
                <w:rFonts w:ascii="Aptos" w:eastAsia="Times New Roman" w:hAnsi="Aptos" w:cs="Times New Roman"/>
                <w:kern w:val="0"/>
                <w:lang w:eastAsia="en-GB"/>
                <w14:ligatures w14:val="none"/>
              </w:rPr>
              <w:t xml:space="preserve">ractice </w:t>
            </w:r>
            <w:r w:rsidRPr="002D754A">
              <w:rPr>
                <w:rFonts w:ascii="Aptos" w:eastAsia="Times New Roman" w:hAnsi="Aptos" w:cs="Times New Roman"/>
                <w:kern w:val="0"/>
                <w:lang w:eastAsia="en-GB"/>
                <w14:ligatures w14:val="none"/>
              </w:rPr>
              <w:t>have a documented and up-to-date Practice Wide Risk Assessment (PWRA)?</w:t>
            </w:r>
          </w:p>
        </w:tc>
        <w:tc>
          <w:tcPr>
            <w:tcW w:w="2210" w:type="dxa"/>
            <w:tcBorders>
              <w:top w:val="nil"/>
              <w:left w:val="nil"/>
              <w:bottom w:val="single" w:sz="4" w:space="0" w:color="auto"/>
              <w:right w:val="single" w:sz="4" w:space="0" w:color="auto"/>
            </w:tcBorders>
            <w:noWrap/>
            <w:vAlign w:val="center"/>
            <w:hideMark/>
          </w:tcPr>
          <w:p w14:paraId="16C45EDB" w14:textId="142975EE" w:rsidR="002D754A" w:rsidRPr="002D754A" w:rsidRDefault="0019644D" w:rsidP="002D754A">
            <w:pPr>
              <w:spacing w:after="0" w:line="240" w:lineRule="auto"/>
              <w:jc w:val="center"/>
              <w:rPr>
                <w:rFonts w:ascii="Aptos Narrow" w:eastAsia="Times New Roman" w:hAnsi="Aptos Narrow" w:cs="Times New Roman"/>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0677A3D8" w14:textId="6C34F117" w:rsidR="002D754A" w:rsidRPr="002D754A" w:rsidRDefault="008570DD" w:rsidP="002D754A">
            <w:pPr>
              <w:spacing w:after="0" w:line="240" w:lineRule="auto"/>
              <w:jc w:val="center"/>
              <w:rPr>
                <w:rFonts w:ascii="Aptos Narrow" w:eastAsia="Times New Roman" w:hAnsi="Aptos Narrow" w:cs="Times New Roman"/>
                <w:kern w:val="0"/>
                <w:sz w:val="22"/>
                <w:szCs w:val="22"/>
                <w:lang w:eastAsia="en-GB"/>
                <w14:ligatures w14:val="none"/>
              </w:rPr>
            </w:pPr>
            <w:r>
              <w:t>Free Text</w:t>
            </w:r>
            <w:r w:rsidR="002D754A" w:rsidRPr="002D754A">
              <w:rPr>
                <w:rFonts w:ascii="Aptos Narrow" w:eastAsia="Times New Roman" w:hAnsi="Aptos Narrow" w:cs="Times New Roman"/>
                <w:kern w:val="0"/>
                <w:sz w:val="22"/>
                <w:szCs w:val="22"/>
                <w:lang w:eastAsia="en-GB"/>
                <w14:ligatures w14:val="none"/>
              </w:rPr>
              <w:t> </w:t>
            </w:r>
          </w:p>
        </w:tc>
      </w:tr>
      <w:tr w:rsidR="002D754A" w:rsidRPr="002D754A" w14:paraId="685EFD4B" w14:textId="77777777" w:rsidTr="00EB3335">
        <w:trPr>
          <w:trHeight w:val="1260"/>
        </w:trPr>
        <w:tc>
          <w:tcPr>
            <w:tcW w:w="1620" w:type="dxa"/>
            <w:vMerge/>
            <w:tcBorders>
              <w:top w:val="nil"/>
              <w:left w:val="single" w:sz="4" w:space="0" w:color="auto"/>
              <w:bottom w:val="single" w:sz="4" w:space="0" w:color="000000"/>
              <w:right w:val="single" w:sz="4" w:space="0" w:color="auto"/>
            </w:tcBorders>
            <w:vAlign w:val="center"/>
            <w:hideMark/>
          </w:tcPr>
          <w:p w14:paraId="315EC670" w14:textId="77777777" w:rsidR="002D754A" w:rsidRPr="002D754A" w:rsidRDefault="002D754A" w:rsidP="002D754A">
            <w:pPr>
              <w:spacing w:after="0" w:line="240" w:lineRule="auto"/>
              <w:rPr>
                <w:rFonts w:ascii="Aptos" w:eastAsia="Times New Roman" w:hAnsi="Aptos" w:cs="Times New Roman"/>
                <w:b/>
                <w:bCs/>
                <w:kern w:val="0"/>
                <w:lang w:eastAsia="en-GB"/>
                <w14:ligatures w14:val="none"/>
              </w:rPr>
            </w:pPr>
          </w:p>
        </w:tc>
        <w:tc>
          <w:tcPr>
            <w:tcW w:w="3820" w:type="dxa"/>
            <w:tcBorders>
              <w:top w:val="nil"/>
              <w:left w:val="nil"/>
              <w:bottom w:val="single" w:sz="4" w:space="0" w:color="auto"/>
              <w:right w:val="single" w:sz="4" w:space="0" w:color="auto"/>
            </w:tcBorders>
            <w:vAlign w:val="center"/>
            <w:hideMark/>
          </w:tcPr>
          <w:p w14:paraId="1BEF8750" w14:textId="3F0A468D" w:rsidR="002D754A" w:rsidRPr="002D754A" w:rsidRDefault="002D754A" w:rsidP="002D754A">
            <w:pPr>
              <w:spacing w:after="0" w:line="240" w:lineRule="auto"/>
              <w:jc w:val="center"/>
              <w:rPr>
                <w:rFonts w:ascii="Aptos" w:eastAsia="Times New Roman" w:hAnsi="Aptos" w:cs="Times New Roman"/>
                <w:kern w:val="0"/>
                <w:lang w:eastAsia="en-GB"/>
                <w14:ligatures w14:val="none"/>
              </w:rPr>
            </w:pPr>
            <w:r w:rsidRPr="002D754A">
              <w:rPr>
                <w:rFonts w:ascii="Aptos" w:eastAsia="Times New Roman" w:hAnsi="Aptos" w:cs="Times New Roman"/>
                <w:kern w:val="0"/>
                <w:lang w:eastAsia="en-GB"/>
                <w14:ligatures w14:val="none"/>
              </w:rPr>
              <w:t>Within the "Practice Comment</w:t>
            </w:r>
            <w:r w:rsidR="002C19D3">
              <w:rPr>
                <w:rFonts w:ascii="Aptos" w:eastAsia="Times New Roman" w:hAnsi="Aptos" w:cs="Times New Roman"/>
                <w:kern w:val="0"/>
                <w:lang w:eastAsia="en-GB"/>
                <w14:ligatures w14:val="none"/>
              </w:rPr>
              <w:t>s</w:t>
            </w:r>
            <w:r w:rsidRPr="002D754A">
              <w:rPr>
                <w:rFonts w:ascii="Aptos" w:eastAsia="Times New Roman" w:hAnsi="Aptos" w:cs="Times New Roman"/>
                <w:kern w:val="0"/>
                <w:lang w:eastAsia="en-GB"/>
                <w14:ligatures w14:val="none"/>
              </w:rPr>
              <w:t xml:space="preserve">" section, please provide the date of the last update made to your </w:t>
            </w:r>
            <w:r w:rsidR="002C19D3">
              <w:rPr>
                <w:rFonts w:ascii="Aptos" w:eastAsia="Times New Roman" w:hAnsi="Aptos" w:cs="Times New Roman"/>
                <w:kern w:val="0"/>
                <w:lang w:eastAsia="en-GB"/>
                <w14:ligatures w14:val="none"/>
              </w:rPr>
              <w:t>PWRA</w:t>
            </w:r>
            <w:r w:rsidRPr="002D754A">
              <w:rPr>
                <w:rFonts w:ascii="Aptos" w:eastAsia="Times New Roman" w:hAnsi="Aptos" w:cs="Times New Roman"/>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4F26CC9F" w14:textId="159DE037" w:rsidR="002D754A" w:rsidRPr="002D754A" w:rsidRDefault="0019644D" w:rsidP="002D754A">
            <w:pPr>
              <w:spacing w:after="0" w:line="240" w:lineRule="auto"/>
              <w:jc w:val="center"/>
              <w:rPr>
                <w:rFonts w:ascii="Aptos Narrow" w:eastAsia="Times New Roman" w:hAnsi="Aptos Narrow" w:cs="Times New Roman"/>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1E84D152" w14:textId="4611FB5D" w:rsidR="002D754A" w:rsidRPr="002D754A" w:rsidRDefault="008570DD" w:rsidP="002D754A">
            <w:pPr>
              <w:spacing w:after="0" w:line="240" w:lineRule="auto"/>
              <w:jc w:val="center"/>
              <w:rPr>
                <w:rFonts w:ascii="Aptos Narrow" w:eastAsia="Times New Roman" w:hAnsi="Aptos Narrow" w:cs="Times New Roman"/>
                <w:kern w:val="0"/>
                <w:sz w:val="22"/>
                <w:szCs w:val="22"/>
                <w:lang w:eastAsia="en-GB"/>
                <w14:ligatures w14:val="none"/>
              </w:rPr>
            </w:pPr>
            <w:r>
              <w:t>Free Text</w:t>
            </w:r>
            <w:r w:rsidR="002D754A" w:rsidRPr="002D754A">
              <w:rPr>
                <w:rFonts w:ascii="Aptos Narrow" w:eastAsia="Times New Roman" w:hAnsi="Aptos Narrow" w:cs="Times New Roman"/>
                <w:kern w:val="0"/>
                <w:sz w:val="22"/>
                <w:szCs w:val="22"/>
                <w:lang w:eastAsia="en-GB"/>
                <w14:ligatures w14:val="none"/>
              </w:rPr>
              <w:t> </w:t>
            </w:r>
          </w:p>
        </w:tc>
      </w:tr>
      <w:tr w:rsidR="002D754A" w:rsidRPr="002D754A" w14:paraId="04F32833" w14:textId="77777777" w:rsidTr="00EB3335">
        <w:trPr>
          <w:trHeight w:val="960"/>
        </w:trPr>
        <w:tc>
          <w:tcPr>
            <w:tcW w:w="1620" w:type="dxa"/>
            <w:tcBorders>
              <w:top w:val="nil"/>
              <w:left w:val="single" w:sz="4" w:space="0" w:color="auto"/>
              <w:bottom w:val="single" w:sz="4" w:space="0" w:color="auto"/>
              <w:right w:val="single" w:sz="4" w:space="0" w:color="auto"/>
            </w:tcBorders>
            <w:vAlign w:val="center"/>
            <w:hideMark/>
          </w:tcPr>
          <w:p w14:paraId="1F282387"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11</w:t>
            </w:r>
          </w:p>
        </w:tc>
        <w:tc>
          <w:tcPr>
            <w:tcW w:w="3820" w:type="dxa"/>
            <w:tcBorders>
              <w:top w:val="nil"/>
              <w:left w:val="nil"/>
              <w:bottom w:val="single" w:sz="4" w:space="0" w:color="auto"/>
              <w:right w:val="single" w:sz="4" w:space="0" w:color="auto"/>
            </w:tcBorders>
            <w:vAlign w:val="center"/>
            <w:hideMark/>
          </w:tcPr>
          <w:p w14:paraId="61E7C07E" w14:textId="32662CFA" w:rsidR="002D754A" w:rsidRPr="002D754A" w:rsidRDefault="002D754A" w:rsidP="002D754A">
            <w:pPr>
              <w:spacing w:after="0" w:line="240" w:lineRule="auto"/>
              <w:jc w:val="center"/>
              <w:rPr>
                <w:rFonts w:ascii="Aptos" w:eastAsia="Times New Roman" w:hAnsi="Aptos" w:cs="Times New Roman"/>
                <w:kern w:val="0"/>
                <w:lang w:eastAsia="en-GB"/>
                <w14:ligatures w14:val="none"/>
              </w:rPr>
            </w:pPr>
            <w:r w:rsidRPr="002D754A">
              <w:rPr>
                <w:rFonts w:ascii="Aptos" w:eastAsia="Times New Roman" w:hAnsi="Aptos" w:cs="Times New Roman"/>
                <w:kern w:val="0"/>
                <w:lang w:eastAsia="en-GB"/>
                <w14:ligatures w14:val="none"/>
              </w:rPr>
              <w:t xml:space="preserve">Has the practice used the PWRA document(s) to directly inform the </w:t>
            </w:r>
            <w:r w:rsidR="00244769">
              <w:rPr>
                <w:rFonts w:ascii="Aptos" w:eastAsia="Times New Roman" w:hAnsi="Aptos" w:cs="Times New Roman"/>
                <w:kern w:val="0"/>
                <w:lang w:eastAsia="en-GB"/>
                <w14:ligatures w14:val="none"/>
              </w:rPr>
              <w:t xml:space="preserve">AML </w:t>
            </w:r>
            <w:r w:rsidRPr="002D754A">
              <w:rPr>
                <w:rFonts w:ascii="Aptos" w:eastAsia="Times New Roman" w:hAnsi="Aptos" w:cs="Times New Roman"/>
                <w:kern w:val="0"/>
                <w:lang w:eastAsia="en-GB"/>
                <w14:ligatures w14:val="none"/>
              </w:rPr>
              <w:t>PCP documentation?</w:t>
            </w:r>
          </w:p>
        </w:tc>
        <w:tc>
          <w:tcPr>
            <w:tcW w:w="2210" w:type="dxa"/>
            <w:tcBorders>
              <w:top w:val="nil"/>
              <w:left w:val="nil"/>
              <w:bottom w:val="single" w:sz="4" w:space="0" w:color="auto"/>
              <w:right w:val="single" w:sz="4" w:space="0" w:color="auto"/>
            </w:tcBorders>
            <w:noWrap/>
            <w:vAlign w:val="center"/>
            <w:hideMark/>
          </w:tcPr>
          <w:p w14:paraId="12D0826F" w14:textId="64AF4CA9" w:rsidR="002D754A" w:rsidRPr="002D754A" w:rsidRDefault="0019644D" w:rsidP="002D754A">
            <w:pPr>
              <w:spacing w:after="0" w:line="240" w:lineRule="auto"/>
              <w:jc w:val="center"/>
              <w:rPr>
                <w:rFonts w:ascii="Aptos Narrow" w:eastAsia="Times New Roman" w:hAnsi="Aptos Narrow" w:cs="Times New Roman"/>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64289BF0" w14:textId="3AE4E9F0" w:rsidR="002D754A" w:rsidRPr="002D754A" w:rsidRDefault="008570DD" w:rsidP="002D754A">
            <w:pPr>
              <w:spacing w:after="0" w:line="240" w:lineRule="auto"/>
              <w:jc w:val="center"/>
              <w:rPr>
                <w:rFonts w:ascii="Aptos Narrow" w:eastAsia="Times New Roman" w:hAnsi="Aptos Narrow" w:cs="Times New Roman"/>
                <w:kern w:val="0"/>
                <w:sz w:val="22"/>
                <w:szCs w:val="22"/>
                <w:lang w:eastAsia="en-GB"/>
                <w14:ligatures w14:val="none"/>
              </w:rPr>
            </w:pPr>
            <w:r>
              <w:t>Free Text</w:t>
            </w:r>
            <w:r w:rsidR="002D754A" w:rsidRPr="002D754A">
              <w:rPr>
                <w:rFonts w:ascii="Aptos Narrow" w:eastAsia="Times New Roman" w:hAnsi="Aptos Narrow" w:cs="Times New Roman"/>
                <w:kern w:val="0"/>
                <w:sz w:val="22"/>
                <w:szCs w:val="22"/>
                <w:lang w:eastAsia="en-GB"/>
                <w14:ligatures w14:val="none"/>
              </w:rPr>
              <w:t> </w:t>
            </w:r>
          </w:p>
        </w:tc>
      </w:tr>
      <w:tr w:rsidR="002D754A" w:rsidRPr="002D754A" w14:paraId="3391F374" w14:textId="77777777" w:rsidTr="002D754A">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7F59D01D" w14:textId="77777777" w:rsidR="002D754A" w:rsidRPr="00131690" w:rsidRDefault="002D754A" w:rsidP="002D754A">
            <w:pPr>
              <w:spacing w:after="0" w:line="240" w:lineRule="auto"/>
              <w:jc w:val="center"/>
              <w:rPr>
                <w:rFonts w:ascii="Aptos" w:eastAsia="Times New Roman" w:hAnsi="Aptos" w:cs="Times New Roman"/>
                <w:b/>
                <w:bCs/>
                <w:kern w:val="0"/>
                <w:lang w:eastAsia="en-GB"/>
                <w14:ligatures w14:val="none"/>
              </w:rPr>
            </w:pPr>
            <w:r w:rsidRPr="00131690">
              <w:rPr>
                <w:rFonts w:ascii="Aptos" w:eastAsia="Times New Roman" w:hAnsi="Aptos" w:cs="Times New Roman"/>
                <w:b/>
                <w:bCs/>
                <w:kern w:val="0"/>
                <w:lang w:eastAsia="en-GB"/>
                <w14:ligatures w14:val="none"/>
              </w:rPr>
              <w:t>Client / Matter Level Risk Assessment</w:t>
            </w:r>
          </w:p>
        </w:tc>
      </w:tr>
      <w:tr w:rsidR="002D754A" w:rsidRPr="002D754A" w14:paraId="6FEFD24A" w14:textId="77777777" w:rsidTr="00EB3335">
        <w:trPr>
          <w:trHeight w:val="1200"/>
        </w:trPr>
        <w:tc>
          <w:tcPr>
            <w:tcW w:w="1620" w:type="dxa"/>
            <w:tcBorders>
              <w:top w:val="nil"/>
              <w:left w:val="single" w:sz="4" w:space="0" w:color="auto"/>
              <w:bottom w:val="single" w:sz="4" w:space="0" w:color="auto"/>
              <w:right w:val="single" w:sz="4" w:space="0" w:color="auto"/>
            </w:tcBorders>
            <w:vAlign w:val="center"/>
            <w:hideMark/>
          </w:tcPr>
          <w:p w14:paraId="013579FE"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12</w:t>
            </w:r>
          </w:p>
        </w:tc>
        <w:tc>
          <w:tcPr>
            <w:tcW w:w="3820" w:type="dxa"/>
            <w:tcBorders>
              <w:top w:val="nil"/>
              <w:left w:val="nil"/>
              <w:bottom w:val="single" w:sz="4" w:space="0" w:color="auto"/>
              <w:right w:val="single" w:sz="4" w:space="0" w:color="auto"/>
            </w:tcBorders>
            <w:vAlign w:val="center"/>
            <w:hideMark/>
          </w:tcPr>
          <w:p w14:paraId="7B95B85F" w14:textId="03B2FAAC" w:rsidR="002D754A" w:rsidRPr="00457E6D" w:rsidRDefault="002D754A" w:rsidP="002D754A">
            <w:pPr>
              <w:spacing w:after="0" w:line="240" w:lineRule="auto"/>
              <w:jc w:val="center"/>
              <w:rPr>
                <w:rFonts w:eastAsia="Times New Roman" w:cs="Times New Roman"/>
                <w:kern w:val="0"/>
                <w:lang w:eastAsia="en-GB"/>
                <w14:ligatures w14:val="none"/>
              </w:rPr>
            </w:pPr>
            <w:r w:rsidRPr="00457E6D">
              <w:rPr>
                <w:rFonts w:eastAsia="Times New Roman" w:cs="Times New Roman"/>
                <w:kern w:val="0"/>
                <w:lang w:eastAsia="en-GB"/>
                <w14:ligatures w14:val="none"/>
              </w:rPr>
              <w:t xml:space="preserve">Does the practice have ML/TF risk assessment procedures at both the client and matter level, requiring a documented risk assessment for every new client and each new </w:t>
            </w:r>
            <w:r w:rsidR="00244769">
              <w:rPr>
                <w:rFonts w:eastAsia="Times New Roman" w:cs="Times New Roman"/>
                <w:kern w:val="0"/>
                <w:lang w:eastAsia="en-GB"/>
                <w14:ligatures w14:val="none"/>
              </w:rPr>
              <w:t xml:space="preserve">client and </w:t>
            </w:r>
            <w:r w:rsidRPr="00457E6D">
              <w:rPr>
                <w:rFonts w:eastAsia="Times New Roman" w:cs="Times New Roman"/>
                <w:kern w:val="0"/>
                <w:lang w:eastAsia="en-GB"/>
                <w14:ligatures w14:val="none"/>
              </w:rPr>
              <w:t xml:space="preserve">matter or retainer, especially when the work is not </w:t>
            </w:r>
            <w:r w:rsidR="00244769" w:rsidRPr="00457E6D">
              <w:rPr>
                <w:rFonts w:eastAsia="Times New Roman" w:cs="Times New Roman"/>
                <w:kern w:val="0"/>
                <w:lang w:eastAsia="en-GB"/>
                <w14:ligatures w14:val="none"/>
              </w:rPr>
              <w:t>r</w:t>
            </w:r>
            <w:r w:rsidR="00244769">
              <w:rPr>
                <w:rFonts w:eastAsia="Times New Roman" w:cs="Times New Roman"/>
                <w:kern w:val="0"/>
                <w:lang w:eastAsia="en-GB"/>
                <w14:ligatures w14:val="none"/>
              </w:rPr>
              <w:t>epetitive</w:t>
            </w:r>
            <w:r w:rsidRPr="00457E6D">
              <w:rPr>
                <w:rFonts w:eastAsia="Times New Roman" w:cs="Times New Roman"/>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39CF1012" w14:textId="341CCF74" w:rsidR="002D754A" w:rsidRPr="002D754A" w:rsidRDefault="0019644D" w:rsidP="002D754A">
            <w:pPr>
              <w:spacing w:after="0" w:line="240" w:lineRule="auto"/>
              <w:jc w:val="center"/>
              <w:rPr>
                <w:rFonts w:ascii="Aptos Narrow" w:eastAsia="Times New Roman" w:hAnsi="Aptos Narrow" w:cs="Times New Roman"/>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57A855C9" w14:textId="7AEF7D24" w:rsidR="002D754A" w:rsidRPr="002D754A" w:rsidRDefault="008570DD" w:rsidP="002D754A">
            <w:pPr>
              <w:spacing w:after="0" w:line="240" w:lineRule="auto"/>
              <w:jc w:val="center"/>
              <w:rPr>
                <w:rFonts w:ascii="Aptos Narrow" w:eastAsia="Times New Roman" w:hAnsi="Aptos Narrow" w:cs="Times New Roman"/>
                <w:kern w:val="0"/>
                <w:sz w:val="22"/>
                <w:szCs w:val="22"/>
                <w:lang w:eastAsia="en-GB"/>
                <w14:ligatures w14:val="none"/>
              </w:rPr>
            </w:pPr>
            <w:r>
              <w:t>Free Text</w:t>
            </w:r>
            <w:r w:rsidR="002D754A" w:rsidRPr="002D754A">
              <w:rPr>
                <w:rFonts w:ascii="Aptos Narrow" w:eastAsia="Times New Roman" w:hAnsi="Aptos Narrow" w:cs="Times New Roman"/>
                <w:kern w:val="0"/>
                <w:sz w:val="22"/>
                <w:szCs w:val="22"/>
                <w:lang w:eastAsia="en-GB"/>
                <w14:ligatures w14:val="none"/>
              </w:rPr>
              <w:t> </w:t>
            </w:r>
          </w:p>
        </w:tc>
      </w:tr>
      <w:tr w:rsidR="002D754A" w:rsidRPr="002D754A" w14:paraId="04E22068" w14:textId="77777777" w:rsidTr="00EB3335">
        <w:trPr>
          <w:trHeight w:val="1200"/>
        </w:trPr>
        <w:tc>
          <w:tcPr>
            <w:tcW w:w="1620" w:type="dxa"/>
            <w:tcBorders>
              <w:top w:val="nil"/>
              <w:left w:val="single" w:sz="4" w:space="0" w:color="auto"/>
              <w:bottom w:val="single" w:sz="4" w:space="0" w:color="auto"/>
              <w:right w:val="single" w:sz="4" w:space="0" w:color="auto"/>
            </w:tcBorders>
            <w:vAlign w:val="center"/>
            <w:hideMark/>
          </w:tcPr>
          <w:p w14:paraId="5E634BA7"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13</w:t>
            </w:r>
          </w:p>
        </w:tc>
        <w:tc>
          <w:tcPr>
            <w:tcW w:w="3820" w:type="dxa"/>
            <w:tcBorders>
              <w:top w:val="nil"/>
              <w:left w:val="nil"/>
              <w:bottom w:val="single" w:sz="4" w:space="0" w:color="auto"/>
              <w:right w:val="single" w:sz="4" w:space="0" w:color="auto"/>
            </w:tcBorders>
            <w:vAlign w:val="center"/>
            <w:hideMark/>
          </w:tcPr>
          <w:p w14:paraId="4ECE84FA" w14:textId="77777777" w:rsidR="002D754A" w:rsidRDefault="002D754A" w:rsidP="002D754A">
            <w:pPr>
              <w:spacing w:after="0" w:line="240" w:lineRule="auto"/>
              <w:jc w:val="center"/>
              <w:rPr>
                <w:rFonts w:eastAsia="Times New Roman" w:cs="Times New Roman"/>
                <w:kern w:val="0"/>
                <w:lang w:eastAsia="en-GB"/>
                <w14:ligatures w14:val="none"/>
              </w:rPr>
            </w:pPr>
            <w:r w:rsidRPr="00457E6D">
              <w:rPr>
                <w:rFonts w:eastAsia="Times New Roman" w:cs="Times New Roman"/>
                <w:kern w:val="0"/>
                <w:lang w:eastAsia="en-GB"/>
                <w14:ligatures w14:val="none"/>
              </w:rPr>
              <w:t>Does the practice have a documented procedure that explains how the results of client and matter</w:t>
            </w:r>
            <w:r w:rsidR="00A07DB8">
              <w:rPr>
                <w:rFonts w:eastAsia="Times New Roman" w:cs="Times New Roman"/>
                <w:kern w:val="0"/>
                <w:lang w:eastAsia="en-GB"/>
                <w14:ligatures w14:val="none"/>
              </w:rPr>
              <w:t xml:space="preserve"> </w:t>
            </w:r>
            <w:r w:rsidRPr="00457E6D">
              <w:rPr>
                <w:rFonts w:eastAsia="Times New Roman" w:cs="Times New Roman"/>
                <w:kern w:val="0"/>
                <w:lang w:eastAsia="en-GB"/>
                <w14:ligatures w14:val="none"/>
              </w:rPr>
              <w:t>level risk assessments are applied to the due diligence carried out for each specific client or matter?</w:t>
            </w:r>
          </w:p>
          <w:p w14:paraId="225A3FBA" w14:textId="7A07B770" w:rsidR="00C66733" w:rsidRPr="00457E6D" w:rsidRDefault="00C66733" w:rsidP="002D754A">
            <w:pPr>
              <w:spacing w:after="0" w:line="240" w:lineRule="auto"/>
              <w:jc w:val="center"/>
              <w:rPr>
                <w:rFonts w:eastAsia="Times New Roman" w:cs="Times New Roman"/>
                <w:kern w:val="0"/>
                <w:lang w:eastAsia="en-GB"/>
                <w14:ligatures w14:val="none"/>
              </w:rPr>
            </w:pPr>
            <w:r w:rsidRPr="00AF24BC">
              <w:rPr>
                <w:rFonts w:eastAsia="Times New Roman" w:cs="Times New Roman"/>
                <w:kern w:val="0"/>
                <w:lang w:eastAsia="en-GB"/>
                <w14:ligatures w14:val="none"/>
              </w:rPr>
              <w:t>Does the practice have a documented procedure that clearly sets out how client</w:t>
            </w:r>
            <w:r w:rsidRPr="00AF24BC">
              <w:rPr>
                <w:rFonts w:eastAsia="Times New Roman" w:cs="Times New Roman"/>
                <w:kern w:val="0"/>
                <w:lang w:eastAsia="en-GB"/>
                <w14:ligatures w14:val="none"/>
              </w:rPr>
              <w:noBreakHyphen/>
              <w:t>level and matter</w:t>
            </w:r>
            <w:r w:rsidRPr="00AF24BC">
              <w:rPr>
                <w:rFonts w:eastAsia="Times New Roman" w:cs="Times New Roman"/>
                <w:kern w:val="0"/>
                <w:lang w:eastAsia="en-GB"/>
                <w14:ligatures w14:val="none"/>
              </w:rPr>
              <w:noBreakHyphen/>
              <w:t xml:space="preserve">level risk assessment outcomes (e.g. Low, Medium Or High Risk) must be used to </w:t>
            </w:r>
            <w:r w:rsidR="00A06222" w:rsidRPr="00AF24BC">
              <w:rPr>
                <w:rFonts w:eastAsia="Times New Roman" w:cs="Times New Roman"/>
                <w:kern w:val="0"/>
                <w:lang w:eastAsia="en-GB"/>
                <w14:ligatures w14:val="none"/>
              </w:rPr>
              <w:t>dictate</w:t>
            </w:r>
            <w:r w:rsidRPr="00AF24BC">
              <w:rPr>
                <w:rFonts w:eastAsia="Times New Roman" w:cs="Times New Roman"/>
                <w:kern w:val="0"/>
                <w:lang w:eastAsia="en-GB"/>
                <w14:ligatures w14:val="none"/>
              </w:rPr>
              <w:t xml:space="preserve"> the </w:t>
            </w:r>
            <w:r w:rsidR="00A06222" w:rsidRPr="00AF24BC">
              <w:rPr>
                <w:rFonts w:eastAsia="Times New Roman" w:cs="Times New Roman"/>
                <w:kern w:val="0"/>
                <w:lang w:eastAsia="en-GB"/>
                <w14:ligatures w14:val="none"/>
              </w:rPr>
              <w:t xml:space="preserve">level and extent of </w:t>
            </w:r>
            <w:r w:rsidRPr="00AF24BC">
              <w:rPr>
                <w:rFonts w:eastAsia="Times New Roman" w:cs="Times New Roman"/>
                <w:kern w:val="0"/>
                <w:lang w:eastAsia="en-GB"/>
                <w14:ligatures w14:val="none"/>
              </w:rPr>
              <w:t>due diligence required for each client or matter?</w:t>
            </w:r>
            <w:r w:rsidR="00A06222" w:rsidRPr="00AF24BC">
              <w:rPr>
                <w:rFonts w:eastAsia="Times New Roman" w:cs="Times New Roman"/>
                <w:kern w:val="0"/>
                <w:lang w:eastAsia="en-GB"/>
                <w14:ligatures w14:val="none"/>
              </w:rPr>
              <w:t xml:space="preserve"> E.g. A client assessed as high risk requires the </w:t>
            </w:r>
            <w:r w:rsidR="00A06222" w:rsidRPr="00AF24BC">
              <w:rPr>
                <w:rFonts w:eastAsia="Times New Roman" w:cs="Times New Roman"/>
                <w:kern w:val="0"/>
                <w:lang w:eastAsia="en-GB"/>
                <w14:ligatures w14:val="none"/>
              </w:rPr>
              <w:lastRenderedPageBreak/>
              <w:t xml:space="preserve">application of Enhanced Due Diligence. </w:t>
            </w:r>
          </w:p>
        </w:tc>
        <w:tc>
          <w:tcPr>
            <w:tcW w:w="2210" w:type="dxa"/>
            <w:tcBorders>
              <w:top w:val="nil"/>
              <w:left w:val="nil"/>
              <w:bottom w:val="single" w:sz="4" w:space="0" w:color="auto"/>
              <w:right w:val="single" w:sz="4" w:space="0" w:color="auto"/>
            </w:tcBorders>
            <w:noWrap/>
            <w:vAlign w:val="center"/>
            <w:hideMark/>
          </w:tcPr>
          <w:p w14:paraId="7B4B9849" w14:textId="504F69BC" w:rsidR="002D754A" w:rsidRPr="002D754A" w:rsidRDefault="0019644D" w:rsidP="002D754A">
            <w:pPr>
              <w:spacing w:after="0" w:line="240" w:lineRule="auto"/>
              <w:jc w:val="center"/>
              <w:rPr>
                <w:rFonts w:ascii="Aptos Narrow" w:eastAsia="Times New Roman" w:hAnsi="Aptos Narrow" w:cs="Times New Roman"/>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lastRenderedPageBreak/>
              <w:t>Yes / No / Not Applicable</w:t>
            </w:r>
            <w:r w:rsidR="002D754A" w:rsidRPr="002D754A">
              <w:rPr>
                <w:rFonts w:ascii="Aptos Narrow" w:eastAsia="Times New Roman" w:hAnsi="Aptos Narrow" w:cs="Times New Roman"/>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1E1E20EF" w14:textId="50A0CFEE" w:rsidR="002D754A" w:rsidRPr="002D754A" w:rsidRDefault="008570DD" w:rsidP="002D754A">
            <w:pPr>
              <w:spacing w:after="0" w:line="240" w:lineRule="auto"/>
              <w:jc w:val="center"/>
              <w:rPr>
                <w:rFonts w:ascii="Aptos Narrow" w:eastAsia="Times New Roman" w:hAnsi="Aptos Narrow" w:cs="Times New Roman"/>
                <w:kern w:val="0"/>
                <w:sz w:val="22"/>
                <w:szCs w:val="22"/>
                <w:lang w:eastAsia="en-GB"/>
                <w14:ligatures w14:val="none"/>
              </w:rPr>
            </w:pPr>
            <w:r>
              <w:t>Free Text</w:t>
            </w:r>
            <w:r w:rsidR="002D754A" w:rsidRPr="002D754A">
              <w:rPr>
                <w:rFonts w:ascii="Aptos Narrow" w:eastAsia="Times New Roman" w:hAnsi="Aptos Narrow" w:cs="Times New Roman"/>
                <w:kern w:val="0"/>
                <w:sz w:val="22"/>
                <w:szCs w:val="22"/>
                <w:lang w:eastAsia="en-GB"/>
                <w14:ligatures w14:val="none"/>
              </w:rPr>
              <w:t> </w:t>
            </w:r>
          </w:p>
        </w:tc>
      </w:tr>
      <w:tr w:rsidR="002D754A" w:rsidRPr="002D754A" w14:paraId="50556404" w14:textId="77777777" w:rsidTr="002D754A">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7201F65E" w14:textId="77777777" w:rsidR="002D754A" w:rsidRPr="00457E6D" w:rsidRDefault="002D754A" w:rsidP="002D754A">
            <w:pPr>
              <w:spacing w:after="0" w:line="240" w:lineRule="auto"/>
              <w:jc w:val="center"/>
              <w:rPr>
                <w:rFonts w:eastAsia="Times New Roman" w:cs="Times New Roman"/>
                <w:b/>
                <w:bCs/>
                <w:color w:val="000000"/>
                <w:kern w:val="0"/>
                <w:lang w:eastAsia="en-GB"/>
                <w14:ligatures w14:val="none"/>
              </w:rPr>
            </w:pPr>
            <w:r w:rsidRPr="00457E6D">
              <w:rPr>
                <w:rFonts w:eastAsia="Times New Roman" w:cs="Times New Roman"/>
                <w:b/>
                <w:bCs/>
                <w:kern w:val="0"/>
                <w:lang w:eastAsia="en-GB"/>
                <w14:ligatures w14:val="none"/>
              </w:rPr>
              <w:t>Policies, Controls &amp; Procedures</w:t>
            </w:r>
          </w:p>
        </w:tc>
      </w:tr>
      <w:tr w:rsidR="002D754A" w:rsidRPr="002D754A" w14:paraId="4CA2A217" w14:textId="77777777" w:rsidTr="00EB3335">
        <w:trPr>
          <w:trHeight w:val="1260"/>
        </w:trPr>
        <w:tc>
          <w:tcPr>
            <w:tcW w:w="1620" w:type="dxa"/>
            <w:vMerge w:val="restart"/>
            <w:tcBorders>
              <w:top w:val="nil"/>
              <w:left w:val="single" w:sz="4" w:space="0" w:color="auto"/>
              <w:bottom w:val="single" w:sz="4" w:space="0" w:color="000000"/>
              <w:right w:val="single" w:sz="4" w:space="0" w:color="auto"/>
            </w:tcBorders>
            <w:vAlign w:val="center"/>
            <w:hideMark/>
          </w:tcPr>
          <w:p w14:paraId="76EACEA2"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14</w:t>
            </w:r>
          </w:p>
        </w:tc>
        <w:tc>
          <w:tcPr>
            <w:tcW w:w="3820" w:type="dxa"/>
            <w:tcBorders>
              <w:top w:val="nil"/>
              <w:left w:val="nil"/>
              <w:bottom w:val="single" w:sz="4" w:space="0" w:color="auto"/>
              <w:right w:val="single" w:sz="4" w:space="0" w:color="auto"/>
            </w:tcBorders>
            <w:vAlign w:val="center"/>
            <w:hideMark/>
          </w:tcPr>
          <w:p w14:paraId="29060D3F" w14:textId="66DDA574" w:rsidR="002D754A" w:rsidRPr="00457E6D" w:rsidRDefault="002D754A" w:rsidP="002D754A">
            <w:pPr>
              <w:spacing w:after="0" w:line="240" w:lineRule="auto"/>
              <w:jc w:val="center"/>
              <w:rPr>
                <w:rFonts w:eastAsia="Times New Roman" w:cs="Times New Roman"/>
                <w:color w:val="000000"/>
                <w:kern w:val="0"/>
                <w:lang w:eastAsia="en-GB"/>
                <w14:ligatures w14:val="none"/>
              </w:rPr>
            </w:pPr>
            <w:r w:rsidRPr="00457E6D">
              <w:rPr>
                <w:rFonts w:eastAsia="Times New Roman" w:cs="Times New Roman"/>
                <w:color w:val="000000"/>
                <w:kern w:val="0"/>
                <w:lang w:eastAsia="en-GB"/>
                <w14:ligatures w14:val="none"/>
              </w:rPr>
              <w:t xml:space="preserve">Does the </w:t>
            </w:r>
            <w:r w:rsidR="002C19D3">
              <w:rPr>
                <w:rFonts w:eastAsia="Times New Roman" w:cs="Times New Roman"/>
                <w:color w:val="000000"/>
                <w:kern w:val="0"/>
                <w:lang w:eastAsia="en-GB"/>
                <w14:ligatures w14:val="none"/>
              </w:rPr>
              <w:t>p</w:t>
            </w:r>
            <w:r w:rsidR="002C19D3" w:rsidRPr="00457E6D">
              <w:rPr>
                <w:rFonts w:eastAsia="Times New Roman" w:cs="Times New Roman"/>
                <w:color w:val="000000"/>
                <w:kern w:val="0"/>
                <w:lang w:eastAsia="en-GB"/>
                <w14:ligatures w14:val="none"/>
              </w:rPr>
              <w:t xml:space="preserve">ractice </w:t>
            </w:r>
            <w:r w:rsidRPr="00457E6D">
              <w:rPr>
                <w:rFonts w:eastAsia="Times New Roman" w:cs="Times New Roman"/>
                <w:color w:val="000000"/>
                <w:kern w:val="0"/>
                <w:lang w:eastAsia="en-GB"/>
                <w14:ligatures w14:val="none"/>
              </w:rPr>
              <w:t>have  documented PCP</w:t>
            </w:r>
            <w:r w:rsidR="002C19D3">
              <w:rPr>
                <w:rFonts w:eastAsia="Times New Roman" w:cs="Times New Roman"/>
                <w:color w:val="000000"/>
                <w:kern w:val="0"/>
                <w:lang w:eastAsia="en-GB"/>
                <w14:ligatures w14:val="none"/>
              </w:rPr>
              <w:t>s</w:t>
            </w:r>
            <w:r w:rsidRPr="00457E6D">
              <w:rPr>
                <w:rFonts w:eastAsia="Times New Roman" w:cs="Times New Roman"/>
                <w:color w:val="000000"/>
                <w:kern w:val="0"/>
                <w:lang w:eastAsia="en-GB"/>
                <w14:ligatures w14:val="none"/>
              </w:rPr>
              <w:t xml:space="preserve"> based on the practice's PWRA that include the AML governance arrangements at the practice? </w:t>
            </w:r>
          </w:p>
        </w:tc>
        <w:tc>
          <w:tcPr>
            <w:tcW w:w="2210" w:type="dxa"/>
            <w:tcBorders>
              <w:top w:val="nil"/>
              <w:left w:val="nil"/>
              <w:bottom w:val="single" w:sz="4" w:space="0" w:color="auto"/>
              <w:right w:val="single" w:sz="4" w:space="0" w:color="auto"/>
            </w:tcBorders>
            <w:noWrap/>
            <w:vAlign w:val="center"/>
            <w:hideMark/>
          </w:tcPr>
          <w:p w14:paraId="6836EF0B" w14:textId="11982DE9"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1E7D6BF0" w14:textId="4455AF0F"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1AB932B5" w14:textId="77777777" w:rsidTr="00EB3335">
        <w:trPr>
          <w:trHeight w:val="945"/>
        </w:trPr>
        <w:tc>
          <w:tcPr>
            <w:tcW w:w="1620" w:type="dxa"/>
            <w:vMerge/>
            <w:tcBorders>
              <w:top w:val="nil"/>
              <w:left w:val="single" w:sz="4" w:space="0" w:color="auto"/>
              <w:bottom w:val="single" w:sz="4" w:space="0" w:color="000000"/>
              <w:right w:val="single" w:sz="4" w:space="0" w:color="auto"/>
            </w:tcBorders>
            <w:vAlign w:val="center"/>
            <w:hideMark/>
          </w:tcPr>
          <w:p w14:paraId="16312646" w14:textId="77777777" w:rsidR="002D754A" w:rsidRPr="002D754A" w:rsidRDefault="002D754A" w:rsidP="002D754A">
            <w:pPr>
              <w:spacing w:after="0" w:line="240" w:lineRule="auto"/>
              <w:rPr>
                <w:rFonts w:ascii="Aptos" w:eastAsia="Times New Roman" w:hAnsi="Aptos" w:cs="Times New Roman"/>
                <w:b/>
                <w:bCs/>
                <w:kern w:val="0"/>
                <w:lang w:eastAsia="en-GB"/>
                <w14:ligatures w14:val="none"/>
              </w:rPr>
            </w:pPr>
          </w:p>
        </w:tc>
        <w:tc>
          <w:tcPr>
            <w:tcW w:w="3820" w:type="dxa"/>
            <w:tcBorders>
              <w:top w:val="nil"/>
              <w:left w:val="nil"/>
              <w:bottom w:val="single" w:sz="4" w:space="0" w:color="auto"/>
              <w:right w:val="single" w:sz="4" w:space="0" w:color="auto"/>
            </w:tcBorders>
            <w:vAlign w:val="center"/>
            <w:hideMark/>
          </w:tcPr>
          <w:p w14:paraId="7695FDB4" w14:textId="4A9AFBD5" w:rsidR="002D754A" w:rsidRPr="00457E6D" w:rsidRDefault="002D754A" w:rsidP="002D754A">
            <w:pPr>
              <w:spacing w:after="0" w:line="240" w:lineRule="auto"/>
              <w:jc w:val="center"/>
              <w:rPr>
                <w:rFonts w:eastAsia="Times New Roman" w:cs="Times New Roman"/>
                <w:color w:val="000000"/>
                <w:kern w:val="0"/>
                <w:lang w:eastAsia="en-GB"/>
                <w14:ligatures w14:val="none"/>
              </w:rPr>
            </w:pPr>
            <w:r w:rsidRPr="00457E6D">
              <w:rPr>
                <w:rFonts w:eastAsia="Times New Roman" w:cs="Times New Roman"/>
                <w:color w:val="000000"/>
                <w:kern w:val="0"/>
                <w:lang w:eastAsia="en-GB"/>
                <w14:ligatures w14:val="none"/>
              </w:rPr>
              <w:t>Within the "Practice Comment</w:t>
            </w:r>
            <w:r w:rsidR="002C19D3">
              <w:rPr>
                <w:rFonts w:eastAsia="Times New Roman" w:cs="Times New Roman"/>
                <w:color w:val="000000"/>
                <w:kern w:val="0"/>
                <w:lang w:eastAsia="en-GB"/>
                <w14:ligatures w14:val="none"/>
              </w:rPr>
              <w:t>s</w:t>
            </w:r>
            <w:r w:rsidRPr="00457E6D">
              <w:rPr>
                <w:rFonts w:eastAsia="Times New Roman" w:cs="Times New Roman"/>
                <w:color w:val="000000"/>
                <w:kern w:val="0"/>
                <w:lang w:eastAsia="en-GB"/>
                <w14:ligatures w14:val="none"/>
              </w:rPr>
              <w:t xml:space="preserve">" section, please provide the date of the last update made to your </w:t>
            </w:r>
            <w:r w:rsidR="002C19D3">
              <w:rPr>
                <w:rFonts w:eastAsia="Times New Roman" w:cs="Times New Roman"/>
                <w:color w:val="000000"/>
                <w:kern w:val="0"/>
                <w:lang w:eastAsia="en-GB"/>
                <w14:ligatures w14:val="none"/>
              </w:rPr>
              <w:t>PCPs</w:t>
            </w:r>
            <w:r w:rsidRPr="00457E6D">
              <w:rPr>
                <w:rFonts w:eastAsia="Times New Roman" w:cs="Times New Roman"/>
                <w:color w:val="000000"/>
                <w:kern w:val="0"/>
                <w:lang w:eastAsia="en-GB"/>
                <w14:ligatures w14:val="none"/>
              </w:rPr>
              <w:t xml:space="preserve"> documentation.</w:t>
            </w:r>
          </w:p>
        </w:tc>
        <w:tc>
          <w:tcPr>
            <w:tcW w:w="2210" w:type="dxa"/>
            <w:tcBorders>
              <w:top w:val="nil"/>
              <w:left w:val="nil"/>
              <w:bottom w:val="single" w:sz="4" w:space="0" w:color="auto"/>
              <w:right w:val="single" w:sz="4" w:space="0" w:color="auto"/>
            </w:tcBorders>
            <w:noWrap/>
            <w:vAlign w:val="center"/>
            <w:hideMark/>
          </w:tcPr>
          <w:p w14:paraId="7332DE05" w14:textId="16260A9B"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017C5AEF" w14:textId="2629A4DF"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65963914" w14:textId="77777777" w:rsidTr="002D754A">
        <w:trPr>
          <w:trHeight w:val="675"/>
        </w:trPr>
        <w:tc>
          <w:tcPr>
            <w:tcW w:w="94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4DDAFFDA" w14:textId="77777777" w:rsidR="002D754A" w:rsidRPr="00457E6D" w:rsidRDefault="002D754A" w:rsidP="002D754A">
            <w:pPr>
              <w:spacing w:after="0" w:line="240" w:lineRule="auto"/>
              <w:jc w:val="center"/>
              <w:rPr>
                <w:rFonts w:eastAsia="Times New Roman" w:cs="Times New Roman"/>
                <w:b/>
                <w:bCs/>
                <w:color w:val="000000"/>
                <w:kern w:val="0"/>
                <w:lang w:eastAsia="en-GB"/>
                <w14:ligatures w14:val="none"/>
              </w:rPr>
            </w:pPr>
            <w:r w:rsidRPr="00457E6D">
              <w:rPr>
                <w:rFonts w:eastAsia="Times New Roman" w:cs="Times New Roman"/>
                <w:b/>
                <w:bCs/>
                <w:kern w:val="0"/>
                <w:lang w:eastAsia="en-GB"/>
                <w14:ligatures w14:val="none"/>
              </w:rPr>
              <w:t>Client Due Diligence</w:t>
            </w:r>
            <w:r w:rsidRPr="00457E6D">
              <w:rPr>
                <w:rFonts w:eastAsia="Times New Roman" w:cs="Times New Roman"/>
                <w:b/>
                <w:bCs/>
                <w:kern w:val="0"/>
                <w:lang w:eastAsia="en-GB"/>
                <w14:ligatures w14:val="none"/>
              </w:rPr>
              <w:br/>
              <w:t>The practice must maintain clearly documented PCPs, informed by its practice</w:t>
            </w:r>
            <w:r w:rsidRPr="00457E6D">
              <w:rPr>
                <w:rFonts w:eastAsia="Times New Roman" w:cs="Times New Roman"/>
                <w:b/>
                <w:bCs/>
                <w:kern w:val="0"/>
                <w:lang w:eastAsia="en-GB"/>
                <w14:ligatures w14:val="none"/>
              </w:rPr>
              <w:noBreakHyphen/>
              <w:t xml:space="preserve">wide risk assessment, that include the following elements - </w:t>
            </w:r>
          </w:p>
        </w:tc>
      </w:tr>
      <w:tr w:rsidR="002D754A" w:rsidRPr="002D754A" w14:paraId="081A420E" w14:textId="77777777" w:rsidTr="00EB3335">
        <w:trPr>
          <w:trHeight w:val="900"/>
        </w:trPr>
        <w:tc>
          <w:tcPr>
            <w:tcW w:w="1620" w:type="dxa"/>
            <w:tcBorders>
              <w:top w:val="nil"/>
              <w:left w:val="single" w:sz="4" w:space="0" w:color="auto"/>
              <w:bottom w:val="single" w:sz="4" w:space="0" w:color="auto"/>
              <w:right w:val="single" w:sz="4" w:space="0" w:color="auto"/>
            </w:tcBorders>
            <w:vAlign w:val="center"/>
            <w:hideMark/>
          </w:tcPr>
          <w:p w14:paraId="4F18A58E"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15</w:t>
            </w:r>
          </w:p>
        </w:tc>
        <w:tc>
          <w:tcPr>
            <w:tcW w:w="3820" w:type="dxa"/>
            <w:tcBorders>
              <w:top w:val="nil"/>
              <w:left w:val="nil"/>
              <w:bottom w:val="single" w:sz="4" w:space="0" w:color="auto"/>
              <w:right w:val="single" w:sz="4" w:space="0" w:color="auto"/>
            </w:tcBorders>
            <w:vAlign w:val="center"/>
            <w:hideMark/>
          </w:tcPr>
          <w:p w14:paraId="7F942AFF" w14:textId="62F808EF" w:rsidR="002D754A" w:rsidRPr="00457E6D" w:rsidRDefault="00B61CDC" w:rsidP="002D754A">
            <w:pPr>
              <w:spacing w:after="0" w:line="240" w:lineRule="auto"/>
              <w:jc w:val="center"/>
              <w:rPr>
                <w:rFonts w:eastAsia="Times New Roman" w:cs="Times New Roman"/>
                <w:color w:val="000000"/>
                <w:kern w:val="0"/>
                <w:lang w:eastAsia="en-GB"/>
                <w14:ligatures w14:val="none"/>
              </w:rPr>
            </w:pPr>
            <w:r w:rsidRPr="00AF24BC">
              <w:rPr>
                <w:rFonts w:eastAsia="Times New Roman" w:cs="Times New Roman"/>
                <w:kern w:val="0"/>
                <w:lang w:eastAsia="en-GB"/>
                <w14:ligatures w14:val="none"/>
              </w:rPr>
              <w:t xml:space="preserve">Does the </w:t>
            </w:r>
            <w:r w:rsidR="002C19D3" w:rsidRPr="00AF24BC">
              <w:rPr>
                <w:rFonts w:eastAsia="Times New Roman" w:cs="Times New Roman"/>
                <w:kern w:val="0"/>
                <w:lang w:eastAsia="en-GB"/>
                <w14:ligatures w14:val="none"/>
              </w:rPr>
              <w:t xml:space="preserve">practice </w:t>
            </w:r>
            <w:r w:rsidR="009C5FF9" w:rsidRPr="00AF24BC">
              <w:rPr>
                <w:rFonts w:eastAsia="Times New Roman" w:cs="Times New Roman"/>
                <w:kern w:val="0"/>
                <w:lang w:eastAsia="en-GB"/>
                <w14:ligatures w14:val="none"/>
              </w:rPr>
              <w:t xml:space="preserve">have </w:t>
            </w:r>
            <w:r w:rsidR="002D754A" w:rsidRPr="00AF24BC">
              <w:rPr>
                <w:rFonts w:eastAsia="Times New Roman" w:cs="Times New Roman"/>
                <w:kern w:val="0"/>
                <w:lang w:eastAsia="en-GB"/>
                <w14:ligatures w14:val="none"/>
              </w:rPr>
              <w:t xml:space="preserve">Client Due Diligence </w:t>
            </w:r>
            <w:r w:rsidR="006E0F69" w:rsidRPr="00AF24BC">
              <w:rPr>
                <w:rFonts w:eastAsia="Times New Roman" w:cs="Times New Roman"/>
                <w:kern w:val="0"/>
                <w:lang w:eastAsia="en-GB"/>
                <w14:ligatures w14:val="none"/>
              </w:rPr>
              <w:t xml:space="preserve">(CDD) </w:t>
            </w:r>
            <w:r w:rsidR="002D754A" w:rsidRPr="00AF24BC">
              <w:rPr>
                <w:rFonts w:eastAsia="Times New Roman" w:cs="Times New Roman"/>
                <w:kern w:val="0"/>
                <w:lang w:eastAsia="en-GB"/>
                <w14:ligatures w14:val="none"/>
              </w:rPr>
              <w:t>procedures</w:t>
            </w:r>
            <w:r w:rsidR="00F76202" w:rsidRPr="00AF24BC">
              <w:rPr>
                <w:rFonts w:eastAsia="Times New Roman" w:cs="Times New Roman"/>
                <w:kern w:val="0"/>
                <w:lang w:eastAsia="en-GB"/>
                <w14:ligatures w14:val="none"/>
              </w:rPr>
              <w:t xml:space="preserve"> </w:t>
            </w:r>
            <w:r w:rsidR="002D754A" w:rsidRPr="00AF24BC">
              <w:rPr>
                <w:rFonts w:eastAsia="Times New Roman" w:cs="Times New Roman"/>
                <w:kern w:val="0"/>
                <w:lang w:eastAsia="en-GB"/>
                <w14:ligatures w14:val="none"/>
              </w:rPr>
              <w:t>for identifying the ownership and control structures of non</w:t>
            </w:r>
            <w:r w:rsidR="002D754A" w:rsidRPr="00AF24BC">
              <w:rPr>
                <w:rFonts w:eastAsia="Times New Roman" w:cs="Times New Roman"/>
                <w:kern w:val="0"/>
                <w:lang w:eastAsia="en-GB"/>
                <w14:ligatures w14:val="none"/>
              </w:rPr>
              <w:noBreakHyphen/>
              <w:t>natural persons</w:t>
            </w:r>
            <w:r w:rsidR="009C5FF9" w:rsidRPr="00AF24BC">
              <w:rPr>
                <w:rFonts w:eastAsia="Times New Roman" w:cs="Times New Roman"/>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724286D9" w14:textId="4C71904F"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7D3C29BD" w14:textId="26A6D15C"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0D5F2F08" w14:textId="77777777" w:rsidTr="00EB3335">
        <w:trPr>
          <w:trHeight w:val="1200"/>
        </w:trPr>
        <w:tc>
          <w:tcPr>
            <w:tcW w:w="1620" w:type="dxa"/>
            <w:tcBorders>
              <w:top w:val="nil"/>
              <w:left w:val="single" w:sz="4" w:space="0" w:color="auto"/>
              <w:bottom w:val="single" w:sz="4" w:space="0" w:color="auto"/>
              <w:right w:val="single" w:sz="4" w:space="0" w:color="auto"/>
            </w:tcBorders>
            <w:vAlign w:val="center"/>
            <w:hideMark/>
          </w:tcPr>
          <w:p w14:paraId="7264D971"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16</w:t>
            </w:r>
          </w:p>
        </w:tc>
        <w:tc>
          <w:tcPr>
            <w:tcW w:w="3820" w:type="dxa"/>
            <w:tcBorders>
              <w:top w:val="nil"/>
              <w:left w:val="nil"/>
              <w:bottom w:val="single" w:sz="4" w:space="0" w:color="auto"/>
              <w:right w:val="single" w:sz="4" w:space="0" w:color="auto"/>
            </w:tcBorders>
            <w:vAlign w:val="center"/>
            <w:hideMark/>
          </w:tcPr>
          <w:p w14:paraId="21F6B365" w14:textId="32C07934" w:rsidR="002D754A" w:rsidRPr="00457E6D" w:rsidRDefault="001B571E"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Does the </w:t>
            </w:r>
            <w:r w:rsidR="002C19D3">
              <w:rPr>
                <w:rFonts w:eastAsia="Times New Roman" w:cs="Times New Roman"/>
                <w:color w:val="000000"/>
                <w:kern w:val="0"/>
                <w:lang w:eastAsia="en-GB"/>
                <w14:ligatures w14:val="none"/>
              </w:rPr>
              <w:t xml:space="preserve">practice </w:t>
            </w:r>
            <w:r>
              <w:rPr>
                <w:rFonts w:eastAsia="Times New Roman" w:cs="Times New Roman"/>
                <w:color w:val="000000"/>
                <w:kern w:val="0"/>
                <w:lang w:eastAsia="en-GB"/>
                <w14:ligatures w14:val="none"/>
              </w:rPr>
              <w:t>have i</w:t>
            </w:r>
            <w:r w:rsidR="002D754A" w:rsidRPr="00457E6D">
              <w:rPr>
                <w:rFonts w:eastAsia="Times New Roman" w:cs="Times New Roman"/>
                <w:color w:val="000000"/>
                <w:kern w:val="0"/>
                <w:lang w:eastAsia="en-GB"/>
                <w14:ligatures w14:val="none"/>
              </w:rPr>
              <w:t>dentification and verification (ID&amp;V) procedures for natural persons, including processes for verifying the ultimate beneficial owners of non</w:t>
            </w:r>
            <w:r w:rsidR="002D754A" w:rsidRPr="00457E6D">
              <w:rPr>
                <w:rFonts w:eastAsia="Times New Roman" w:cs="Times New Roman"/>
                <w:color w:val="000000"/>
                <w:kern w:val="0"/>
                <w:lang w:eastAsia="en-GB"/>
                <w14:ligatures w14:val="none"/>
              </w:rPr>
              <w:noBreakHyphen/>
              <w:t>natural clients and any individuals act</w:t>
            </w:r>
            <w:r w:rsidR="00244769">
              <w:rPr>
                <w:rFonts w:eastAsia="Times New Roman" w:cs="Times New Roman"/>
                <w:color w:val="000000"/>
                <w:kern w:val="0"/>
                <w:lang w:eastAsia="en-GB"/>
                <w14:ligatures w14:val="none"/>
              </w:rPr>
              <w:t>ing</w:t>
            </w:r>
            <w:r w:rsidR="002D754A" w:rsidRPr="00457E6D">
              <w:rPr>
                <w:rFonts w:eastAsia="Times New Roman" w:cs="Times New Roman"/>
                <w:color w:val="000000"/>
                <w:kern w:val="0"/>
                <w:lang w:eastAsia="en-GB"/>
                <w14:ligatures w14:val="none"/>
              </w:rPr>
              <w:t xml:space="preserve"> on a client’s behalf</w:t>
            </w:r>
            <w:r>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104D0089" w14:textId="6A09BBEC"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751A4F40" w14:textId="68BA81CC"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4C864202" w14:textId="77777777" w:rsidTr="00EB3335">
        <w:trPr>
          <w:trHeight w:val="1500"/>
        </w:trPr>
        <w:tc>
          <w:tcPr>
            <w:tcW w:w="1620" w:type="dxa"/>
            <w:tcBorders>
              <w:top w:val="nil"/>
              <w:left w:val="single" w:sz="4" w:space="0" w:color="auto"/>
              <w:bottom w:val="single" w:sz="4" w:space="0" w:color="auto"/>
              <w:right w:val="single" w:sz="4" w:space="0" w:color="auto"/>
            </w:tcBorders>
            <w:vAlign w:val="center"/>
            <w:hideMark/>
          </w:tcPr>
          <w:p w14:paraId="179C0539"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17</w:t>
            </w:r>
          </w:p>
        </w:tc>
        <w:tc>
          <w:tcPr>
            <w:tcW w:w="3820" w:type="dxa"/>
            <w:tcBorders>
              <w:top w:val="nil"/>
              <w:left w:val="nil"/>
              <w:bottom w:val="single" w:sz="4" w:space="0" w:color="auto"/>
              <w:right w:val="single" w:sz="4" w:space="0" w:color="auto"/>
            </w:tcBorders>
            <w:vAlign w:val="center"/>
            <w:hideMark/>
          </w:tcPr>
          <w:p w14:paraId="578121D7" w14:textId="3113CE4B" w:rsidR="002D754A" w:rsidRPr="00457E6D" w:rsidRDefault="009C5FF9"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Does the </w:t>
            </w:r>
            <w:r w:rsidR="002C19D3">
              <w:rPr>
                <w:rFonts w:eastAsia="Times New Roman" w:cs="Times New Roman"/>
                <w:color w:val="000000"/>
                <w:kern w:val="0"/>
                <w:lang w:eastAsia="en-GB"/>
                <w14:ligatures w14:val="none"/>
              </w:rPr>
              <w:t xml:space="preserve">practice </w:t>
            </w:r>
            <w:r>
              <w:rPr>
                <w:rFonts w:eastAsia="Times New Roman" w:cs="Times New Roman"/>
                <w:color w:val="000000"/>
                <w:kern w:val="0"/>
                <w:lang w:eastAsia="en-GB"/>
                <w14:ligatures w14:val="none"/>
              </w:rPr>
              <w:t>have p</w:t>
            </w:r>
            <w:r w:rsidR="002D754A" w:rsidRPr="00457E6D">
              <w:rPr>
                <w:rFonts w:eastAsia="Times New Roman" w:cs="Times New Roman"/>
                <w:color w:val="000000"/>
                <w:kern w:val="0"/>
                <w:lang w:eastAsia="en-GB"/>
                <w14:ligatures w14:val="none"/>
              </w:rPr>
              <w:t xml:space="preserve">rocedures designed to ensure a clear understanding of the client’s </w:t>
            </w:r>
            <w:r w:rsidR="002C19D3">
              <w:rPr>
                <w:rFonts w:eastAsia="Times New Roman" w:cs="Times New Roman"/>
                <w:color w:val="000000"/>
                <w:kern w:val="0"/>
                <w:lang w:eastAsia="en-GB"/>
                <w14:ligatures w14:val="none"/>
              </w:rPr>
              <w:t>S</w:t>
            </w:r>
            <w:r w:rsidR="002C19D3" w:rsidRPr="00457E6D">
              <w:rPr>
                <w:rFonts w:eastAsia="Times New Roman" w:cs="Times New Roman"/>
                <w:color w:val="000000"/>
                <w:kern w:val="0"/>
                <w:lang w:eastAsia="en-GB"/>
                <w14:ligatures w14:val="none"/>
              </w:rPr>
              <w:t xml:space="preserve">ource </w:t>
            </w:r>
            <w:r w:rsidR="002D754A" w:rsidRPr="00457E6D">
              <w:rPr>
                <w:rFonts w:eastAsia="Times New Roman" w:cs="Times New Roman"/>
                <w:color w:val="000000"/>
                <w:kern w:val="0"/>
                <w:lang w:eastAsia="en-GB"/>
                <w14:ligatures w14:val="none"/>
              </w:rPr>
              <w:t xml:space="preserve">of </w:t>
            </w:r>
            <w:r w:rsidR="002C19D3">
              <w:rPr>
                <w:rFonts w:eastAsia="Times New Roman" w:cs="Times New Roman"/>
                <w:color w:val="000000"/>
                <w:kern w:val="0"/>
                <w:lang w:eastAsia="en-GB"/>
                <w14:ligatures w14:val="none"/>
              </w:rPr>
              <w:t>W</w:t>
            </w:r>
            <w:r w:rsidR="002C19D3" w:rsidRPr="00457E6D">
              <w:rPr>
                <w:rFonts w:eastAsia="Times New Roman" w:cs="Times New Roman"/>
                <w:color w:val="000000"/>
                <w:kern w:val="0"/>
                <w:lang w:eastAsia="en-GB"/>
                <w14:ligatures w14:val="none"/>
              </w:rPr>
              <w:t xml:space="preserve">ealth </w:t>
            </w:r>
            <w:r w:rsidR="002D754A" w:rsidRPr="00457E6D">
              <w:rPr>
                <w:rFonts w:eastAsia="Times New Roman" w:cs="Times New Roman"/>
                <w:color w:val="000000"/>
                <w:kern w:val="0"/>
                <w:lang w:eastAsia="en-GB"/>
                <w14:ligatures w14:val="none"/>
              </w:rPr>
              <w:t xml:space="preserve">and </w:t>
            </w:r>
            <w:r w:rsidR="002C19D3">
              <w:rPr>
                <w:rFonts w:eastAsia="Times New Roman" w:cs="Times New Roman"/>
                <w:color w:val="000000"/>
                <w:kern w:val="0"/>
                <w:lang w:eastAsia="en-GB"/>
                <w14:ligatures w14:val="none"/>
              </w:rPr>
              <w:t>S</w:t>
            </w:r>
            <w:r w:rsidR="002C19D3" w:rsidRPr="00457E6D">
              <w:rPr>
                <w:rFonts w:eastAsia="Times New Roman" w:cs="Times New Roman"/>
                <w:color w:val="000000"/>
                <w:kern w:val="0"/>
                <w:lang w:eastAsia="en-GB"/>
                <w14:ligatures w14:val="none"/>
              </w:rPr>
              <w:t xml:space="preserve">ource </w:t>
            </w:r>
            <w:r w:rsidR="002D754A" w:rsidRPr="00457E6D">
              <w:rPr>
                <w:rFonts w:eastAsia="Times New Roman" w:cs="Times New Roman"/>
                <w:color w:val="000000"/>
                <w:kern w:val="0"/>
                <w:lang w:eastAsia="en-GB"/>
                <w14:ligatures w14:val="none"/>
              </w:rPr>
              <w:t xml:space="preserve">of </w:t>
            </w:r>
            <w:r w:rsidR="002C19D3">
              <w:rPr>
                <w:rFonts w:eastAsia="Times New Roman" w:cs="Times New Roman"/>
                <w:color w:val="000000"/>
                <w:kern w:val="0"/>
                <w:lang w:eastAsia="en-GB"/>
                <w14:ligatures w14:val="none"/>
              </w:rPr>
              <w:t>F</w:t>
            </w:r>
            <w:r w:rsidR="002C19D3" w:rsidRPr="00457E6D">
              <w:rPr>
                <w:rFonts w:eastAsia="Times New Roman" w:cs="Times New Roman"/>
                <w:color w:val="000000"/>
                <w:kern w:val="0"/>
                <w:lang w:eastAsia="en-GB"/>
                <w14:ligatures w14:val="none"/>
              </w:rPr>
              <w:t xml:space="preserve">unds </w:t>
            </w:r>
            <w:r w:rsidR="002D754A" w:rsidRPr="00457E6D">
              <w:rPr>
                <w:rFonts w:eastAsia="Times New Roman" w:cs="Times New Roman"/>
                <w:color w:val="000000"/>
                <w:kern w:val="0"/>
                <w:lang w:eastAsia="en-GB"/>
                <w14:ligatures w14:val="none"/>
              </w:rPr>
              <w:t>for any transaction, along with the level of evidence required, proportionate to the assessed risk profile of the client or matter</w:t>
            </w:r>
            <w:r>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0FFC0F8C" w14:textId="127B43F3"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53ED2A8D" w14:textId="1AB87395"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p>
        </w:tc>
      </w:tr>
      <w:tr w:rsidR="002D754A" w:rsidRPr="002D754A" w14:paraId="05B77CA5" w14:textId="77777777" w:rsidTr="00EB3335">
        <w:trPr>
          <w:trHeight w:val="1200"/>
        </w:trPr>
        <w:tc>
          <w:tcPr>
            <w:tcW w:w="1620" w:type="dxa"/>
            <w:tcBorders>
              <w:top w:val="nil"/>
              <w:left w:val="single" w:sz="4" w:space="0" w:color="auto"/>
              <w:bottom w:val="single" w:sz="4" w:space="0" w:color="auto"/>
              <w:right w:val="single" w:sz="4" w:space="0" w:color="auto"/>
            </w:tcBorders>
            <w:vAlign w:val="center"/>
            <w:hideMark/>
          </w:tcPr>
          <w:p w14:paraId="559F17F3"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18</w:t>
            </w:r>
          </w:p>
        </w:tc>
        <w:tc>
          <w:tcPr>
            <w:tcW w:w="3820" w:type="dxa"/>
            <w:tcBorders>
              <w:top w:val="nil"/>
              <w:left w:val="nil"/>
              <w:bottom w:val="single" w:sz="4" w:space="0" w:color="auto"/>
              <w:right w:val="single" w:sz="4" w:space="0" w:color="auto"/>
            </w:tcBorders>
            <w:vAlign w:val="center"/>
            <w:hideMark/>
          </w:tcPr>
          <w:p w14:paraId="53669B38" w14:textId="53799838" w:rsidR="002D754A" w:rsidRPr="00457E6D" w:rsidRDefault="009C5FF9"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Does the </w:t>
            </w:r>
            <w:r w:rsidR="002C19D3">
              <w:rPr>
                <w:rFonts w:eastAsia="Times New Roman" w:cs="Times New Roman"/>
                <w:color w:val="000000"/>
                <w:kern w:val="0"/>
                <w:lang w:eastAsia="en-GB"/>
                <w14:ligatures w14:val="none"/>
              </w:rPr>
              <w:t xml:space="preserve">practice </w:t>
            </w:r>
            <w:r>
              <w:rPr>
                <w:rFonts w:eastAsia="Times New Roman" w:cs="Times New Roman"/>
                <w:color w:val="000000"/>
                <w:kern w:val="0"/>
                <w:lang w:eastAsia="en-GB"/>
                <w14:ligatures w14:val="none"/>
              </w:rPr>
              <w:t>have p</w:t>
            </w:r>
            <w:r w:rsidR="002D754A" w:rsidRPr="00457E6D">
              <w:rPr>
                <w:rFonts w:eastAsia="Times New Roman" w:cs="Times New Roman"/>
                <w:color w:val="000000"/>
                <w:kern w:val="0"/>
                <w:lang w:eastAsia="en-GB"/>
                <w14:ligatures w14:val="none"/>
              </w:rPr>
              <w:t>rocedures to enable the reporting of any discrepancies identified between beneficial ownership information gathered through due diligence and the details recorded on the Companies House register</w:t>
            </w:r>
            <w:r>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225D9A4C" w14:textId="1DEA7461"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7BF51F1C" w14:textId="3136EDC7"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54F52C75" w14:textId="77777777" w:rsidTr="00EB3335">
        <w:trPr>
          <w:trHeight w:val="1200"/>
        </w:trPr>
        <w:tc>
          <w:tcPr>
            <w:tcW w:w="1620" w:type="dxa"/>
            <w:tcBorders>
              <w:top w:val="nil"/>
              <w:left w:val="single" w:sz="4" w:space="0" w:color="auto"/>
              <w:bottom w:val="single" w:sz="4" w:space="0" w:color="auto"/>
              <w:right w:val="single" w:sz="4" w:space="0" w:color="auto"/>
            </w:tcBorders>
            <w:vAlign w:val="center"/>
            <w:hideMark/>
          </w:tcPr>
          <w:p w14:paraId="6B358900"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lastRenderedPageBreak/>
              <w:t>LSAG Key Compliance Principle 19</w:t>
            </w:r>
          </w:p>
        </w:tc>
        <w:tc>
          <w:tcPr>
            <w:tcW w:w="3820" w:type="dxa"/>
            <w:tcBorders>
              <w:top w:val="nil"/>
              <w:left w:val="nil"/>
              <w:bottom w:val="single" w:sz="4" w:space="0" w:color="auto"/>
              <w:right w:val="single" w:sz="4" w:space="0" w:color="auto"/>
            </w:tcBorders>
            <w:vAlign w:val="center"/>
            <w:hideMark/>
          </w:tcPr>
          <w:p w14:paraId="7FD5B4A4" w14:textId="19F535AF" w:rsidR="002D754A" w:rsidRPr="00457E6D" w:rsidRDefault="009C5FF9" w:rsidP="002D754A">
            <w:pPr>
              <w:spacing w:after="0" w:line="240" w:lineRule="auto"/>
              <w:jc w:val="center"/>
              <w:rPr>
                <w:rFonts w:eastAsia="Times New Roman" w:cs="Times New Roman"/>
                <w:color w:val="000000"/>
                <w:kern w:val="0"/>
                <w:lang w:eastAsia="en-GB"/>
                <w14:ligatures w14:val="none"/>
              </w:rPr>
            </w:pPr>
            <w:r w:rsidRPr="00AF24BC">
              <w:rPr>
                <w:rFonts w:eastAsia="Times New Roman" w:cs="Times New Roman"/>
                <w:kern w:val="0"/>
                <w:lang w:eastAsia="en-GB"/>
                <w14:ligatures w14:val="none"/>
              </w:rPr>
              <w:t xml:space="preserve">Does the </w:t>
            </w:r>
            <w:r w:rsidR="002C19D3" w:rsidRPr="00AF24BC">
              <w:rPr>
                <w:rFonts w:eastAsia="Times New Roman" w:cs="Times New Roman"/>
                <w:kern w:val="0"/>
                <w:lang w:eastAsia="en-GB"/>
                <w14:ligatures w14:val="none"/>
              </w:rPr>
              <w:t xml:space="preserve">practice </w:t>
            </w:r>
            <w:r w:rsidRPr="00AF24BC">
              <w:rPr>
                <w:rFonts w:eastAsia="Times New Roman" w:cs="Times New Roman"/>
                <w:kern w:val="0"/>
                <w:lang w:eastAsia="en-GB"/>
                <w14:ligatures w14:val="none"/>
              </w:rPr>
              <w:t xml:space="preserve">have </w:t>
            </w:r>
            <w:r w:rsidR="00B87CA3" w:rsidRPr="00AF24BC">
              <w:rPr>
                <w:rFonts w:eastAsia="Times New Roman" w:cs="Times New Roman"/>
                <w:kern w:val="0"/>
                <w:lang w:eastAsia="en-GB"/>
                <w14:ligatures w14:val="none"/>
              </w:rPr>
              <w:t xml:space="preserve">Enhanced </w:t>
            </w:r>
            <w:r w:rsidR="00C55B60" w:rsidRPr="00AF24BC">
              <w:rPr>
                <w:rFonts w:eastAsia="Times New Roman" w:cs="Times New Roman"/>
                <w:kern w:val="0"/>
                <w:lang w:eastAsia="en-GB"/>
                <w14:ligatures w14:val="none"/>
              </w:rPr>
              <w:t>D</w:t>
            </w:r>
            <w:r w:rsidR="002D754A" w:rsidRPr="00AF24BC">
              <w:rPr>
                <w:rFonts w:eastAsia="Times New Roman" w:cs="Times New Roman"/>
                <w:kern w:val="0"/>
                <w:lang w:eastAsia="en-GB"/>
                <w14:ligatures w14:val="none"/>
              </w:rPr>
              <w:t xml:space="preserve">ue Diligence </w:t>
            </w:r>
            <w:r w:rsidR="006E0F69" w:rsidRPr="00AF24BC">
              <w:rPr>
                <w:rFonts w:eastAsia="Times New Roman" w:cs="Times New Roman"/>
                <w:kern w:val="0"/>
                <w:lang w:eastAsia="en-GB"/>
                <w14:ligatures w14:val="none"/>
              </w:rPr>
              <w:t xml:space="preserve">(EDD) </w:t>
            </w:r>
            <w:r w:rsidR="002D754A" w:rsidRPr="00AF24BC">
              <w:rPr>
                <w:rFonts w:eastAsia="Times New Roman" w:cs="Times New Roman"/>
                <w:kern w:val="0"/>
                <w:lang w:eastAsia="en-GB"/>
                <w14:ligatures w14:val="none"/>
              </w:rPr>
              <w:t>procedures</w:t>
            </w:r>
            <w:r w:rsidR="0063248C" w:rsidRPr="00AF24BC">
              <w:rPr>
                <w:rFonts w:eastAsia="Times New Roman" w:cs="Times New Roman"/>
                <w:kern w:val="0"/>
                <w:lang w:eastAsia="en-GB"/>
                <w14:ligatures w14:val="none"/>
              </w:rPr>
              <w:t xml:space="preserve"> in place</w:t>
            </w:r>
            <w:r w:rsidR="002D754A" w:rsidRPr="00AF24BC">
              <w:rPr>
                <w:rFonts w:eastAsia="Times New Roman" w:cs="Times New Roman"/>
                <w:kern w:val="0"/>
                <w:lang w:eastAsia="en-GB"/>
                <w14:ligatures w14:val="none"/>
              </w:rPr>
              <w:t>, including the implementation of appropriate controls for managing higher</w:t>
            </w:r>
            <w:r w:rsidR="002D754A" w:rsidRPr="00AF24BC">
              <w:rPr>
                <w:rFonts w:eastAsia="Times New Roman" w:cs="Times New Roman"/>
                <w:kern w:val="0"/>
                <w:lang w:eastAsia="en-GB"/>
                <w14:ligatures w14:val="none"/>
              </w:rPr>
              <w:noBreakHyphen/>
              <w:t xml:space="preserve">risk clients or transactions, and measures to </w:t>
            </w:r>
            <w:r w:rsidR="00244769" w:rsidRPr="00AF24BC">
              <w:rPr>
                <w:rFonts w:eastAsia="Times New Roman" w:cs="Times New Roman"/>
                <w:kern w:val="0"/>
                <w:lang w:eastAsia="en-GB"/>
                <w14:ligatures w14:val="none"/>
              </w:rPr>
              <w:t xml:space="preserve">establish and </w:t>
            </w:r>
            <w:r w:rsidR="002D754A" w:rsidRPr="00AF24BC">
              <w:rPr>
                <w:rFonts w:eastAsia="Times New Roman" w:cs="Times New Roman"/>
                <w:kern w:val="0"/>
                <w:lang w:eastAsia="en-GB"/>
                <w14:ligatures w14:val="none"/>
              </w:rPr>
              <w:t>verify Source of Funds and Source of Wealth where required</w:t>
            </w:r>
            <w:r w:rsidRPr="00AF24BC">
              <w:rPr>
                <w:rFonts w:eastAsia="Times New Roman" w:cs="Times New Roman"/>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447FEA4B" w14:textId="467F826F"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7A4C1CAE" w14:textId="234CAC2F"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23371D16" w14:textId="77777777" w:rsidTr="00EB3335">
        <w:trPr>
          <w:trHeight w:val="630"/>
        </w:trPr>
        <w:tc>
          <w:tcPr>
            <w:tcW w:w="1620" w:type="dxa"/>
            <w:tcBorders>
              <w:top w:val="nil"/>
              <w:left w:val="single" w:sz="4" w:space="0" w:color="auto"/>
              <w:bottom w:val="single" w:sz="4" w:space="0" w:color="auto"/>
              <w:right w:val="single" w:sz="4" w:space="0" w:color="auto"/>
            </w:tcBorders>
            <w:vAlign w:val="center"/>
            <w:hideMark/>
          </w:tcPr>
          <w:p w14:paraId="5CB7580C"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20</w:t>
            </w:r>
          </w:p>
        </w:tc>
        <w:tc>
          <w:tcPr>
            <w:tcW w:w="3820" w:type="dxa"/>
            <w:tcBorders>
              <w:top w:val="nil"/>
              <w:left w:val="nil"/>
              <w:bottom w:val="single" w:sz="4" w:space="0" w:color="auto"/>
              <w:right w:val="single" w:sz="4" w:space="0" w:color="auto"/>
            </w:tcBorders>
            <w:vAlign w:val="center"/>
            <w:hideMark/>
          </w:tcPr>
          <w:p w14:paraId="00B9B282" w14:textId="6C32F388" w:rsidR="002D754A" w:rsidRPr="00457E6D" w:rsidRDefault="00001496"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Has the </w:t>
            </w:r>
            <w:r w:rsidR="002D754A" w:rsidRPr="00457E6D">
              <w:rPr>
                <w:rFonts w:eastAsia="Times New Roman" w:cs="Times New Roman"/>
                <w:color w:val="000000"/>
                <w:kern w:val="0"/>
                <w:lang w:eastAsia="en-GB"/>
                <w14:ligatures w14:val="none"/>
              </w:rPr>
              <w:t>practice</w:t>
            </w:r>
            <w:r>
              <w:rPr>
                <w:rFonts w:eastAsia="Times New Roman" w:cs="Times New Roman"/>
                <w:color w:val="000000"/>
                <w:kern w:val="0"/>
                <w:lang w:eastAsia="en-GB"/>
                <w14:ligatures w14:val="none"/>
              </w:rPr>
              <w:t xml:space="preserve"> documented its</w:t>
            </w:r>
            <w:r w:rsidR="002D754A" w:rsidRPr="00457E6D">
              <w:rPr>
                <w:rFonts w:eastAsia="Times New Roman" w:cs="Times New Roman"/>
                <w:color w:val="000000"/>
                <w:kern w:val="0"/>
                <w:lang w:eastAsia="en-GB"/>
                <w14:ligatures w14:val="none"/>
              </w:rPr>
              <w:t xml:space="preserve"> position on when and how Simplified Due Diligence may be applied</w:t>
            </w:r>
            <w:r w:rsidR="00CB3680">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6F01D926" w14:textId="24BBA3F5"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34F4824A" w14:textId="4F764617"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04D8CD4E" w14:textId="77777777" w:rsidTr="00EB3335">
        <w:trPr>
          <w:trHeight w:val="630"/>
        </w:trPr>
        <w:tc>
          <w:tcPr>
            <w:tcW w:w="1620" w:type="dxa"/>
            <w:tcBorders>
              <w:top w:val="nil"/>
              <w:left w:val="single" w:sz="4" w:space="0" w:color="auto"/>
              <w:bottom w:val="single" w:sz="4" w:space="0" w:color="auto"/>
              <w:right w:val="single" w:sz="4" w:space="0" w:color="auto"/>
            </w:tcBorders>
            <w:vAlign w:val="center"/>
            <w:hideMark/>
          </w:tcPr>
          <w:p w14:paraId="1463A46B"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21</w:t>
            </w:r>
          </w:p>
        </w:tc>
        <w:tc>
          <w:tcPr>
            <w:tcW w:w="3820" w:type="dxa"/>
            <w:tcBorders>
              <w:top w:val="nil"/>
              <w:left w:val="nil"/>
              <w:bottom w:val="single" w:sz="4" w:space="0" w:color="auto"/>
              <w:right w:val="single" w:sz="4" w:space="0" w:color="auto"/>
            </w:tcBorders>
            <w:vAlign w:val="center"/>
            <w:hideMark/>
          </w:tcPr>
          <w:p w14:paraId="4DA76507" w14:textId="12A6AD3C" w:rsidR="002D754A" w:rsidRPr="00AF24BC" w:rsidRDefault="00CB3680" w:rsidP="002D754A">
            <w:pPr>
              <w:spacing w:after="0" w:line="240" w:lineRule="auto"/>
              <w:jc w:val="center"/>
              <w:rPr>
                <w:rFonts w:eastAsia="Times New Roman" w:cs="Times New Roman"/>
                <w:kern w:val="0"/>
                <w:lang w:eastAsia="en-GB"/>
                <w14:ligatures w14:val="none"/>
              </w:rPr>
            </w:pPr>
            <w:r w:rsidRPr="00AF24BC">
              <w:rPr>
                <w:rFonts w:eastAsia="Times New Roman" w:cs="Times New Roman"/>
                <w:kern w:val="0"/>
                <w:lang w:eastAsia="en-GB"/>
                <w14:ligatures w14:val="none"/>
              </w:rPr>
              <w:t>Has the practice documented t</w:t>
            </w:r>
            <w:r w:rsidR="002D754A" w:rsidRPr="00AF24BC">
              <w:rPr>
                <w:rFonts w:eastAsia="Times New Roman" w:cs="Times New Roman"/>
                <w:kern w:val="0"/>
                <w:lang w:eastAsia="en-GB"/>
                <w14:ligatures w14:val="none"/>
              </w:rPr>
              <w:t xml:space="preserve">he timing requirements for conducting </w:t>
            </w:r>
            <w:r w:rsidR="00C55B60" w:rsidRPr="00AF24BC">
              <w:rPr>
                <w:rFonts w:eastAsia="Times New Roman" w:cs="Times New Roman"/>
                <w:kern w:val="0"/>
                <w:lang w:eastAsia="en-GB"/>
                <w14:ligatures w14:val="none"/>
              </w:rPr>
              <w:t>D</w:t>
            </w:r>
            <w:r w:rsidR="002D754A" w:rsidRPr="00AF24BC">
              <w:rPr>
                <w:rFonts w:eastAsia="Times New Roman" w:cs="Times New Roman"/>
                <w:kern w:val="0"/>
                <w:lang w:eastAsia="en-GB"/>
                <w14:ligatures w14:val="none"/>
              </w:rPr>
              <w:t xml:space="preserve">ue </w:t>
            </w:r>
            <w:r w:rsidR="00C55B60" w:rsidRPr="00AF24BC">
              <w:rPr>
                <w:rFonts w:eastAsia="Times New Roman" w:cs="Times New Roman"/>
                <w:kern w:val="0"/>
                <w:lang w:eastAsia="en-GB"/>
                <w14:ligatures w14:val="none"/>
              </w:rPr>
              <w:t>D</w:t>
            </w:r>
            <w:r w:rsidR="002D754A" w:rsidRPr="00AF24BC">
              <w:rPr>
                <w:rFonts w:eastAsia="Times New Roman" w:cs="Times New Roman"/>
                <w:kern w:val="0"/>
                <w:lang w:eastAsia="en-GB"/>
                <w14:ligatures w14:val="none"/>
              </w:rPr>
              <w:t>iligence procedures</w:t>
            </w:r>
            <w:r w:rsidRPr="00AF24BC">
              <w:rPr>
                <w:rFonts w:eastAsia="Times New Roman" w:cs="Times New Roman"/>
                <w:kern w:val="0"/>
                <w:lang w:eastAsia="en-GB"/>
                <w14:ligatures w14:val="none"/>
              </w:rPr>
              <w:t>?</w:t>
            </w:r>
            <w:r w:rsidR="0063248C" w:rsidRPr="00AF24BC">
              <w:rPr>
                <w:rFonts w:eastAsia="Times New Roman" w:cs="Times New Roman"/>
                <w:kern w:val="0"/>
                <w:lang w:eastAsia="en-GB"/>
                <w14:ligatures w14:val="none"/>
              </w:rPr>
              <w:t xml:space="preserve"> E.g. </w:t>
            </w:r>
            <w:r w:rsidR="002E1465" w:rsidRPr="00AF24BC">
              <w:rPr>
                <w:rFonts w:eastAsia="Times New Roman" w:cs="Times New Roman"/>
                <w:kern w:val="0"/>
                <w:lang w:eastAsia="en-GB"/>
                <w14:ligatures w14:val="none"/>
              </w:rPr>
              <w:t>to verify the identity of the customer, any person purporting to act on behalf of the customer and any beneficial owner of the customer before the establishment of a business relationship or the carrying out of the transaction.</w:t>
            </w:r>
            <w:r w:rsidR="0063248C" w:rsidRPr="00AF24BC">
              <w:rPr>
                <w:rFonts w:eastAsia="Times New Roman" w:cs="Times New Roman"/>
                <w:kern w:val="0"/>
                <w:lang w:eastAsia="en-GB"/>
                <w14:ligatures w14:val="none"/>
              </w:rPr>
              <w:t xml:space="preserve"> </w:t>
            </w:r>
          </w:p>
        </w:tc>
        <w:tc>
          <w:tcPr>
            <w:tcW w:w="2210" w:type="dxa"/>
            <w:tcBorders>
              <w:top w:val="nil"/>
              <w:left w:val="nil"/>
              <w:bottom w:val="single" w:sz="4" w:space="0" w:color="auto"/>
              <w:right w:val="single" w:sz="4" w:space="0" w:color="auto"/>
            </w:tcBorders>
            <w:noWrap/>
            <w:vAlign w:val="center"/>
            <w:hideMark/>
          </w:tcPr>
          <w:p w14:paraId="29DB9450" w14:textId="4D8DBA5B"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67D58193" w14:textId="076BB0FB"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6A282498" w14:textId="77777777" w:rsidTr="00EB3335">
        <w:trPr>
          <w:trHeight w:val="900"/>
        </w:trPr>
        <w:tc>
          <w:tcPr>
            <w:tcW w:w="1620" w:type="dxa"/>
            <w:tcBorders>
              <w:top w:val="nil"/>
              <w:left w:val="single" w:sz="4" w:space="0" w:color="auto"/>
              <w:bottom w:val="single" w:sz="4" w:space="0" w:color="auto"/>
              <w:right w:val="single" w:sz="4" w:space="0" w:color="auto"/>
            </w:tcBorders>
            <w:vAlign w:val="center"/>
            <w:hideMark/>
          </w:tcPr>
          <w:p w14:paraId="0C48E834"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22</w:t>
            </w:r>
          </w:p>
        </w:tc>
        <w:tc>
          <w:tcPr>
            <w:tcW w:w="3820" w:type="dxa"/>
            <w:tcBorders>
              <w:top w:val="nil"/>
              <w:left w:val="nil"/>
              <w:bottom w:val="single" w:sz="4" w:space="0" w:color="auto"/>
              <w:right w:val="single" w:sz="4" w:space="0" w:color="auto"/>
            </w:tcBorders>
            <w:vAlign w:val="center"/>
            <w:hideMark/>
          </w:tcPr>
          <w:p w14:paraId="6400D593" w14:textId="599DF476" w:rsidR="002D754A" w:rsidRPr="00457E6D" w:rsidRDefault="00CB3680"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Has the </w:t>
            </w:r>
            <w:r w:rsidRPr="00457E6D">
              <w:rPr>
                <w:rFonts w:eastAsia="Times New Roman" w:cs="Times New Roman"/>
                <w:color w:val="000000"/>
                <w:kern w:val="0"/>
                <w:lang w:eastAsia="en-GB"/>
                <w14:ligatures w14:val="none"/>
              </w:rPr>
              <w:t>practice</w:t>
            </w:r>
            <w:r>
              <w:rPr>
                <w:rFonts w:eastAsia="Times New Roman" w:cs="Times New Roman"/>
                <w:color w:val="000000"/>
                <w:kern w:val="0"/>
                <w:lang w:eastAsia="en-GB"/>
                <w14:ligatures w14:val="none"/>
              </w:rPr>
              <w:t xml:space="preserve"> documented </w:t>
            </w:r>
            <w:r w:rsidR="00C55B60">
              <w:rPr>
                <w:rFonts w:eastAsia="Times New Roman" w:cs="Times New Roman"/>
                <w:color w:val="000000"/>
                <w:kern w:val="0"/>
                <w:lang w:eastAsia="en-GB"/>
                <w14:ligatures w14:val="none"/>
              </w:rPr>
              <w:t>it</w:t>
            </w:r>
            <w:r w:rsidR="002D754A" w:rsidRPr="00457E6D">
              <w:rPr>
                <w:rFonts w:eastAsia="Times New Roman" w:cs="Times New Roman"/>
                <w:color w:val="000000"/>
                <w:kern w:val="0"/>
                <w:lang w:eastAsia="en-GB"/>
                <w14:ligatures w14:val="none"/>
              </w:rPr>
              <w:t>s position on the use of R39 Reliance and the procedures that apply when relying on another party under this provision</w:t>
            </w:r>
            <w:r w:rsidR="00C55B60">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0F0E5B92" w14:textId="2F567926"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34DBAA7C" w14:textId="497151BE"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243F0E81" w14:textId="77777777" w:rsidTr="00EB3335">
        <w:trPr>
          <w:trHeight w:val="630"/>
        </w:trPr>
        <w:tc>
          <w:tcPr>
            <w:tcW w:w="1620" w:type="dxa"/>
            <w:tcBorders>
              <w:top w:val="nil"/>
              <w:left w:val="single" w:sz="4" w:space="0" w:color="auto"/>
              <w:bottom w:val="single" w:sz="4" w:space="0" w:color="auto"/>
              <w:right w:val="single" w:sz="4" w:space="0" w:color="auto"/>
            </w:tcBorders>
            <w:vAlign w:val="center"/>
            <w:hideMark/>
          </w:tcPr>
          <w:p w14:paraId="2110DB59"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23</w:t>
            </w:r>
          </w:p>
        </w:tc>
        <w:tc>
          <w:tcPr>
            <w:tcW w:w="3820" w:type="dxa"/>
            <w:tcBorders>
              <w:top w:val="nil"/>
              <w:left w:val="nil"/>
              <w:bottom w:val="single" w:sz="4" w:space="0" w:color="auto"/>
              <w:right w:val="single" w:sz="4" w:space="0" w:color="auto"/>
            </w:tcBorders>
            <w:vAlign w:val="center"/>
            <w:hideMark/>
          </w:tcPr>
          <w:p w14:paraId="1EBBB00A" w14:textId="54A35592" w:rsidR="002D754A" w:rsidRPr="00457E6D" w:rsidRDefault="00CB3680"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Has the </w:t>
            </w:r>
            <w:r w:rsidRPr="00457E6D">
              <w:rPr>
                <w:rFonts w:eastAsia="Times New Roman" w:cs="Times New Roman"/>
                <w:color w:val="000000"/>
                <w:kern w:val="0"/>
                <w:lang w:eastAsia="en-GB"/>
                <w14:ligatures w14:val="none"/>
              </w:rPr>
              <w:t>practice</w:t>
            </w:r>
            <w:r>
              <w:rPr>
                <w:rFonts w:eastAsia="Times New Roman" w:cs="Times New Roman"/>
                <w:color w:val="000000"/>
                <w:kern w:val="0"/>
                <w:lang w:eastAsia="en-GB"/>
                <w14:ligatures w14:val="none"/>
              </w:rPr>
              <w:t xml:space="preserve"> documented its approach to t</w:t>
            </w:r>
            <w:r w:rsidR="002D754A" w:rsidRPr="00457E6D">
              <w:rPr>
                <w:rFonts w:eastAsia="Times New Roman" w:cs="Times New Roman"/>
                <w:color w:val="000000"/>
                <w:kern w:val="0"/>
                <w:lang w:eastAsia="en-GB"/>
                <w14:ligatures w14:val="none"/>
              </w:rPr>
              <w:t>he ongoing monitoring of clients and their matters</w:t>
            </w:r>
            <w:r w:rsidR="00C55B60">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215D26C8" w14:textId="7A64EF9E"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0DA59483" w14:textId="1B59C795"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3C69CC16" w14:textId="77777777" w:rsidTr="00EB3335">
        <w:trPr>
          <w:trHeight w:val="900"/>
        </w:trPr>
        <w:tc>
          <w:tcPr>
            <w:tcW w:w="1620" w:type="dxa"/>
            <w:tcBorders>
              <w:top w:val="nil"/>
              <w:left w:val="single" w:sz="4" w:space="0" w:color="auto"/>
              <w:bottom w:val="single" w:sz="4" w:space="0" w:color="auto"/>
              <w:right w:val="single" w:sz="4" w:space="0" w:color="auto"/>
            </w:tcBorders>
            <w:vAlign w:val="center"/>
            <w:hideMark/>
          </w:tcPr>
          <w:p w14:paraId="221C2516"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24</w:t>
            </w:r>
          </w:p>
        </w:tc>
        <w:tc>
          <w:tcPr>
            <w:tcW w:w="3820" w:type="dxa"/>
            <w:tcBorders>
              <w:top w:val="nil"/>
              <w:left w:val="nil"/>
              <w:bottom w:val="single" w:sz="4" w:space="0" w:color="auto"/>
              <w:right w:val="single" w:sz="4" w:space="0" w:color="auto"/>
            </w:tcBorders>
            <w:vAlign w:val="center"/>
            <w:hideMark/>
          </w:tcPr>
          <w:p w14:paraId="2CC775A4" w14:textId="631AE1CD" w:rsidR="002D754A" w:rsidRPr="00457E6D" w:rsidRDefault="00FE3E0F"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Does the practice have p</w:t>
            </w:r>
            <w:r w:rsidR="002D754A" w:rsidRPr="00457E6D">
              <w:rPr>
                <w:rFonts w:eastAsia="Times New Roman" w:cs="Times New Roman"/>
                <w:color w:val="000000"/>
                <w:kern w:val="0"/>
                <w:lang w:eastAsia="en-GB"/>
                <w14:ligatures w14:val="none"/>
              </w:rPr>
              <w:t>rocedures for identifying situations in which it is necessary or appropriate to re</w:t>
            </w:r>
            <w:r w:rsidR="002D754A" w:rsidRPr="00457E6D">
              <w:rPr>
                <w:rFonts w:eastAsia="Times New Roman" w:cs="Times New Roman"/>
                <w:color w:val="000000"/>
                <w:kern w:val="0"/>
                <w:lang w:eastAsia="en-GB"/>
                <w14:ligatures w14:val="none"/>
              </w:rPr>
              <w:noBreakHyphen/>
              <w:t>apply or renew CDD or EDD for a client</w:t>
            </w:r>
            <w:r>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7AF8D457" w14:textId="23727E53"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36F6FD8D" w14:textId="5E4A65A3"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21EC35C2" w14:textId="77777777" w:rsidTr="00EB3335">
        <w:trPr>
          <w:trHeight w:val="630"/>
        </w:trPr>
        <w:tc>
          <w:tcPr>
            <w:tcW w:w="1620" w:type="dxa"/>
            <w:tcBorders>
              <w:top w:val="nil"/>
              <w:left w:val="single" w:sz="4" w:space="0" w:color="auto"/>
              <w:bottom w:val="single" w:sz="4" w:space="0" w:color="auto"/>
              <w:right w:val="single" w:sz="4" w:space="0" w:color="auto"/>
            </w:tcBorders>
            <w:vAlign w:val="center"/>
            <w:hideMark/>
          </w:tcPr>
          <w:p w14:paraId="41C734DE"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25</w:t>
            </w:r>
          </w:p>
        </w:tc>
        <w:tc>
          <w:tcPr>
            <w:tcW w:w="3820" w:type="dxa"/>
            <w:tcBorders>
              <w:top w:val="nil"/>
              <w:left w:val="nil"/>
              <w:bottom w:val="single" w:sz="4" w:space="0" w:color="auto"/>
              <w:right w:val="single" w:sz="4" w:space="0" w:color="auto"/>
            </w:tcBorders>
            <w:vAlign w:val="center"/>
            <w:hideMark/>
          </w:tcPr>
          <w:p w14:paraId="1244106D" w14:textId="4088EDFB" w:rsidR="002D754A" w:rsidRPr="00457E6D" w:rsidRDefault="00FE3E0F"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Does the practice have p</w:t>
            </w:r>
            <w:r w:rsidR="002D754A" w:rsidRPr="00457E6D">
              <w:rPr>
                <w:rFonts w:eastAsia="Times New Roman" w:cs="Times New Roman"/>
                <w:color w:val="000000"/>
                <w:kern w:val="0"/>
                <w:lang w:eastAsia="en-GB"/>
                <w14:ligatures w14:val="none"/>
              </w:rPr>
              <w:t>rocedures for handling the return of unsolicited funds or monies that appear to have been deposited in error</w:t>
            </w:r>
            <w:r>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5836EF07" w14:textId="59ABF0B0"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4E7CB9AE" w14:textId="6729F521"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00DDC370" w14:textId="77777777" w:rsidTr="00EB3335">
        <w:trPr>
          <w:trHeight w:val="1200"/>
        </w:trPr>
        <w:tc>
          <w:tcPr>
            <w:tcW w:w="1620" w:type="dxa"/>
            <w:tcBorders>
              <w:top w:val="nil"/>
              <w:left w:val="single" w:sz="4" w:space="0" w:color="auto"/>
              <w:bottom w:val="single" w:sz="4" w:space="0" w:color="auto"/>
              <w:right w:val="single" w:sz="4" w:space="0" w:color="auto"/>
            </w:tcBorders>
            <w:vAlign w:val="center"/>
            <w:hideMark/>
          </w:tcPr>
          <w:p w14:paraId="7DD71C61"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26</w:t>
            </w:r>
          </w:p>
        </w:tc>
        <w:tc>
          <w:tcPr>
            <w:tcW w:w="3820" w:type="dxa"/>
            <w:tcBorders>
              <w:top w:val="nil"/>
              <w:left w:val="nil"/>
              <w:bottom w:val="single" w:sz="4" w:space="0" w:color="auto"/>
              <w:right w:val="single" w:sz="4" w:space="0" w:color="auto"/>
            </w:tcBorders>
            <w:vAlign w:val="center"/>
            <w:hideMark/>
          </w:tcPr>
          <w:p w14:paraId="4068AB53" w14:textId="1FDDC302" w:rsidR="002D754A" w:rsidRPr="00457E6D" w:rsidRDefault="00FE3E0F"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Does the practice have p</w:t>
            </w:r>
            <w:r w:rsidR="002D754A" w:rsidRPr="00457E6D">
              <w:rPr>
                <w:rFonts w:eastAsia="Times New Roman" w:cs="Times New Roman"/>
                <w:color w:val="000000"/>
                <w:kern w:val="0"/>
                <w:lang w:eastAsia="en-GB"/>
                <w14:ligatures w14:val="none"/>
              </w:rPr>
              <w:t xml:space="preserve">rocedures for identifying and scrutinising any complex or unusually large transactions, </w:t>
            </w:r>
            <w:r w:rsidR="002D754A" w:rsidRPr="00457E6D">
              <w:rPr>
                <w:rFonts w:eastAsia="Times New Roman" w:cs="Times New Roman"/>
                <w:color w:val="000000"/>
                <w:kern w:val="0"/>
                <w:lang w:eastAsia="en-GB"/>
                <w14:ligatures w14:val="none"/>
              </w:rPr>
              <w:lastRenderedPageBreak/>
              <w:t>unusual transaction patterns, or activities that appear to lack an obvious economic or legal purpose</w:t>
            </w:r>
            <w:r>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0A81732F" w14:textId="3226F371"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lastRenderedPageBreak/>
              <w:t>Yes / No / Not Applicable</w:t>
            </w:r>
          </w:p>
        </w:tc>
        <w:tc>
          <w:tcPr>
            <w:tcW w:w="1830" w:type="dxa"/>
            <w:tcBorders>
              <w:top w:val="nil"/>
              <w:left w:val="nil"/>
              <w:bottom w:val="single" w:sz="4" w:space="0" w:color="auto"/>
              <w:right w:val="single" w:sz="4" w:space="0" w:color="auto"/>
            </w:tcBorders>
            <w:noWrap/>
            <w:vAlign w:val="center"/>
            <w:hideMark/>
          </w:tcPr>
          <w:p w14:paraId="232C985C" w14:textId="4FADE7CD"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1B5D5335" w14:textId="77777777" w:rsidTr="00EB3335">
        <w:trPr>
          <w:trHeight w:val="900"/>
        </w:trPr>
        <w:tc>
          <w:tcPr>
            <w:tcW w:w="1620" w:type="dxa"/>
            <w:tcBorders>
              <w:top w:val="nil"/>
              <w:left w:val="single" w:sz="4" w:space="0" w:color="auto"/>
              <w:bottom w:val="single" w:sz="4" w:space="0" w:color="auto"/>
              <w:right w:val="single" w:sz="4" w:space="0" w:color="auto"/>
            </w:tcBorders>
            <w:vAlign w:val="center"/>
            <w:hideMark/>
          </w:tcPr>
          <w:p w14:paraId="569F5423"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27</w:t>
            </w:r>
          </w:p>
        </w:tc>
        <w:tc>
          <w:tcPr>
            <w:tcW w:w="3820" w:type="dxa"/>
            <w:tcBorders>
              <w:top w:val="nil"/>
              <w:left w:val="nil"/>
              <w:bottom w:val="single" w:sz="4" w:space="0" w:color="auto"/>
              <w:right w:val="single" w:sz="4" w:space="0" w:color="auto"/>
            </w:tcBorders>
            <w:vAlign w:val="center"/>
            <w:hideMark/>
          </w:tcPr>
          <w:p w14:paraId="396BA240" w14:textId="162B8BD7" w:rsidR="002D754A" w:rsidRPr="00457E6D" w:rsidRDefault="00FE3E0F" w:rsidP="002D754A">
            <w:pPr>
              <w:spacing w:after="0" w:line="240" w:lineRule="auto"/>
              <w:jc w:val="center"/>
              <w:rPr>
                <w:rFonts w:eastAsia="Times New Roman" w:cs="Times New Roman"/>
                <w:color w:val="000000"/>
                <w:kern w:val="0"/>
                <w:lang w:eastAsia="en-GB"/>
                <w14:ligatures w14:val="none"/>
              </w:rPr>
            </w:pPr>
            <w:r w:rsidRPr="00AF24BC">
              <w:rPr>
                <w:rFonts w:eastAsia="Times New Roman" w:cs="Times New Roman"/>
                <w:kern w:val="0"/>
                <w:lang w:eastAsia="en-GB"/>
                <w14:ligatures w14:val="none"/>
              </w:rPr>
              <w:t>Does the practice have a</w:t>
            </w:r>
            <w:r w:rsidR="002D754A" w:rsidRPr="00AF24BC">
              <w:rPr>
                <w:rFonts w:eastAsia="Times New Roman" w:cs="Times New Roman"/>
                <w:kern w:val="0"/>
                <w:lang w:eastAsia="en-GB"/>
                <w14:ligatures w14:val="none"/>
              </w:rPr>
              <w:t>ny additional measures designed to prevent the use of products or transactions that enable anonymity for the purposes of ML/TF</w:t>
            </w:r>
            <w:r w:rsidRPr="00AF24BC">
              <w:rPr>
                <w:rFonts w:eastAsia="Times New Roman" w:cs="Times New Roman"/>
                <w:kern w:val="0"/>
                <w:lang w:eastAsia="en-GB"/>
                <w14:ligatures w14:val="none"/>
              </w:rPr>
              <w:t>?</w:t>
            </w:r>
            <w:r w:rsidR="00193480" w:rsidRPr="00AF24BC">
              <w:rPr>
                <w:rFonts w:eastAsia="Times New Roman" w:cs="Times New Roman"/>
                <w:kern w:val="0"/>
                <w:lang w:eastAsia="en-GB"/>
                <w14:ligatures w14:val="none"/>
              </w:rPr>
              <w:t xml:space="preserve"> E.g. when the customer is a limited company with nominee shareholders. </w:t>
            </w:r>
          </w:p>
        </w:tc>
        <w:tc>
          <w:tcPr>
            <w:tcW w:w="2210" w:type="dxa"/>
            <w:tcBorders>
              <w:top w:val="nil"/>
              <w:left w:val="nil"/>
              <w:bottom w:val="single" w:sz="4" w:space="0" w:color="auto"/>
              <w:right w:val="single" w:sz="4" w:space="0" w:color="auto"/>
            </w:tcBorders>
            <w:noWrap/>
            <w:vAlign w:val="center"/>
            <w:hideMark/>
          </w:tcPr>
          <w:p w14:paraId="713C46E4" w14:textId="1B5603FB"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30788A45" w14:textId="5DA28421"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1EED216A" w14:textId="77777777" w:rsidTr="00EB3335">
        <w:trPr>
          <w:trHeight w:val="900"/>
        </w:trPr>
        <w:tc>
          <w:tcPr>
            <w:tcW w:w="1620" w:type="dxa"/>
            <w:tcBorders>
              <w:top w:val="nil"/>
              <w:left w:val="single" w:sz="4" w:space="0" w:color="auto"/>
              <w:bottom w:val="single" w:sz="4" w:space="0" w:color="auto"/>
              <w:right w:val="single" w:sz="4" w:space="0" w:color="auto"/>
            </w:tcBorders>
            <w:vAlign w:val="center"/>
            <w:hideMark/>
          </w:tcPr>
          <w:p w14:paraId="664DDF6F"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28</w:t>
            </w:r>
          </w:p>
        </w:tc>
        <w:tc>
          <w:tcPr>
            <w:tcW w:w="3820" w:type="dxa"/>
            <w:tcBorders>
              <w:top w:val="nil"/>
              <w:left w:val="nil"/>
              <w:bottom w:val="single" w:sz="4" w:space="0" w:color="auto"/>
              <w:right w:val="single" w:sz="4" w:space="0" w:color="auto"/>
            </w:tcBorders>
            <w:vAlign w:val="center"/>
            <w:hideMark/>
          </w:tcPr>
          <w:p w14:paraId="54819498" w14:textId="179CC7EA" w:rsidR="002D754A" w:rsidRPr="00457E6D" w:rsidRDefault="00FE3E0F"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Does the practice have p</w:t>
            </w:r>
            <w:r w:rsidR="002D754A" w:rsidRPr="00457E6D">
              <w:rPr>
                <w:rFonts w:eastAsia="Times New Roman" w:cs="Times New Roman"/>
                <w:color w:val="000000"/>
                <w:kern w:val="0"/>
                <w:lang w:eastAsia="en-GB"/>
                <w14:ligatures w14:val="none"/>
              </w:rPr>
              <w:t>rocedures for identifying Politically Exposed Persons (PEPs), their relatives and close associates, together with measures to manage and mitigate any related risks</w:t>
            </w:r>
            <w:r w:rsidR="00C55B60">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0A2E5AF2" w14:textId="27829647"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2F63B395" w14:textId="3EB3CBF7"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2D6C4622" w14:textId="77777777" w:rsidTr="002D754A">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0A27A186" w14:textId="77777777" w:rsidR="002D754A" w:rsidRPr="00457E6D" w:rsidRDefault="002D754A" w:rsidP="002D754A">
            <w:pPr>
              <w:spacing w:after="0" w:line="240" w:lineRule="auto"/>
              <w:jc w:val="center"/>
              <w:rPr>
                <w:rFonts w:eastAsia="Times New Roman" w:cs="Times New Roman"/>
                <w:b/>
                <w:bCs/>
                <w:kern w:val="0"/>
                <w:lang w:eastAsia="en-GB"/>
                <w14:ligatures w14:val="none"/>
              </w:rPr>
            </w:pPr>
            <w:r w:rsidRPr="00457E6D">
              <w:rPr>
                <w:rFonts w:eastAsia="Times New Roman" w:cs="Times New Roman"/>
                <w:b/>
                <w:bCs/>
                <w:kern w:val="0"/>
                <w:lang w:eastAsia="en-GB"/>
                <w14:ligatures w14:val="none"/>
              </w:rPr>
              <w:t>Suspicious Activity Reporting</w:t>
            </w:r>
          </w:p>
        </w:tc>
      </w:tr>
      <w:tr w:rsidR="003260FC" w:rsidRPr="002D754A" w14:paraId="43C2C0D2" w14:textId="77777777" w:rsidTr="00EB3335">
        <w:trPr>
          <w:trHeight w:val="900"/>
        </w:trPr>
        <w:tc>
          <w:tcPr>
            <w:tcW w:w="1620" w:type="dxa"/>
            <w:vMerge w:val="restart"/>
            <w:tcBorders>
              <w:top w:val="nil"/>
              <w:left w:val="single" w:sz="4" w:space="0" w:color="auto"/>
              <w:right w:val="single" w:sz="4" w:space="0" w:color="auto"/>
            </w:tcBorders>
            <w:vAlign w:val="center"/>
            <w:hideMark/>
          </w:tcPr>
          <w:p w14:paraId="2DCB3F86" w14:textId="77777777" w:rsidR="003260FC" w:rsidRPr="002D754A" w:rsidRDefault="003260FC"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29</w:t>
            </w:r>
          </w:p>
        </w:tc>
        <w:tc>
          <w:tcPr>
            <w:tcW w:w="3820" w:type="dxa"/>
            <w:tcBorders>
              <w:top w:val="nil"/>
              <w:left w:val="nil"/>
              <w:bottom w:val="single" w:sz="4" w:space="0" w:color="auto"/>
              <w:right w:val="single" w:sz="4" w:space="0" w:color="auto"/>
            </w:tcBorders>
            <w:vAlign w:val="center"/>
            <w:hideMark/>
          </w:tcPr>
          <w:p w14:paraId="6950C1DB" w14:textId="58A28B08" w:rsidR="003260FC" w:rsidRPr="00457E6D" w:rsidRDefault="003260FC"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Does the</w:t>
            </w:r>
            <w:r w:rsidRPr="00457E6D">
              <w:rPr>
                <w:rFonts w:eastAsia="Times New Roman" w:cs="Times New Roman"/>
                <w:color w:val="000000"/>
                <w:kern w:val="0"/>
                <w:lang w:eastAsia="en-GB"/>
                <w14:ligatures w14:val="none"/>
              </w:rPr>
              <w:t xml:space="preserve"> practice have procedures that outline how internal disclosures are to be made to the MLRO, and the circumstances in which such disclosures are required</w:t>
            </w:r>
            <w:r w:rsidR="00C55B60">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5A29E804" w14:textId="4296402B" w:rsidR="003260FC"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14B6CC27" w14:textId="12A4A4BD" w:rsidR="003260FC"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3260FC" w:rsidRPr="002D754A">
              <w:rPr>
                <w:rFonts w:ascii="Aptos Narrow" w:eastAsia="Times New Roman" w:hAnsi="Aptos Narrow" w:cs="Times New Roman"/>
                <w:color w:val="000000"/>
                <w:kern w:val="0"/>
                <w:sz w:val="22"/>
                <w:szCs w:val="22"/>
                <w:lang w:eastAsia="en-GB"/>
                <w14:ligatures w14:val="none"/>
              </w:rPr>
              <w:t> </w:t>
            </w:r>
          </w:p>
        </w:tc>
      </w:tr>
      <w:tr w:rsidR="003260FC" w:rsidRPr="002D754A" w14:paraId="2C1070BA" w14:textId="77777777" w:rsidTr="00EB3335">
        <w:trPr>
          <w:trHeight w:val="900"/>
        </w:trPr>
        <w:tc>
          <w:tcPr>
            <w:tcW w:w="1620" w:type="dxa"/>
            <w:vMerge/>
            <w:tcBorders>
              <w:left w:val="single" w:sz="4" w:space="0" w:color="auto"/>
              <w:bottom w:val="single" w:sz="4" w:space="0" w:color="auto"/>
              <w:right w:val="single" w:sz="4" w:space="0" w:color="auto"/>
            </w:tcBorders>
            <w:vAlign w:val="center"/>
          </w:tcPr>
          <w:p w14:paraId="658543C9" w14:textId="77777777" w:rsidR="003260FC" w:rsidRPr="002D754A" w:rsidRDefault="003260FC" w:rsidP="002D754A">
            <w:pPr>
              <w:spacing w:after="0" w:line="240" w:lineRule="auto"/>
              <w:jc w:val="center"/>
              <w:rPr>
                <w:rFonts w:ascii="Aptos" w:eastAsia="Times New Roman" w:hAnsi="Aptos" w:cs="Times New Roman"/>
                <w:b/>
                <w:bCs/>
                <w:kern w:val="0"/>
                <w:lang w:eastAsia="en-GB"/>
                <w14:ligatures w14:val="none"/>
              </w:rPr>
            </w:pPr>
          </w:p>
        </w:tc>
        <w:tc>
          <w:tcPr>
            <w:tcW w:w="3820" w:type="dxa"/>
            <w:tcBorders>
              <w:top w:val="nil"/>
              <w:left w:val="nil"/>
              <w:bottom w:val="single" w:sz="4" w:space="0" w:color="auto"/>
              <w:right w:val="single" w:sz="4" w:space="0" w:color="auto"/>
            </w:tcBorders>
            <w:vAlign w:val="center"/>
          </w:tcPr>
          <w:p w14:paraId="448669A2" w14:textId="28E026D6" w:rsidR="003260FC" w:rsidRDefault="003260FC"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In the “Practice Comments” section, please provide the number of </w:t>
            </w:r>
            <w:r w:rsidR="0089194B">
              <w:rPr>
                <w:rFonts w:eastAsia="Times New Roman" w:cs="Times New Roman"/>
                <w:color w:val="000000"/>
                <w:kern w:val="0"/>
                <w:lang w:eastAsia="en-GB"/>
                <w14:ligatures w14:val="none"/>
              </w:rPr>
              <w:t xml:space="preserve">internal SARs submitted to the MLRO </w:t>
            </w:r>
            <w:r w:rsidR="00C17A03">
              <w:rPr>
                <w:rFonts w:eastAsia="Times New Roman" w:cs="Times New Roman"/>
                <w:color w:val="000000"/>
                <w:kern w:val="0"/>
                <w:lang w:eastAsia="en-GB"/>
                <w14:ligatures w14:val="none"/>
              </w:rPr>
              <w:t xml:space="preserve">in 2025 </w:t>
            </w:r>
            <w:r w:rsidR="0089194B">
              <w:rPr>
                <w:rFonts w:eastAsia="Times New Roman" w:cs="Times New Roman"/>
                <w:color w:val="000000"/>
                <w:kern w:val="0"/>
                <w:lang w:eastAsia="en-GB"/>
                <w14:ligatures w14:val="none"/>
              </w:rPr>
              <w:t>and the number of S</w:t>
            </w:r>
            <w:r w:rsidR="00C17A03">
              <w:rPr>
                <w:rFonts w:eastAsia="Times New Roman" w:cs="Times New Roman"/>
                <w:color w:val="000000"/>
                <w:kern w:val="0"/>
                <w:lang w:eastAsia="en-GB"/>
                <w14:ligatures w14:val="none"/>
              </w:rPr>
              <w:t>ARs reported to the UK Financial Intelligence Unit</w:t>
            </w:r>
            <w:r w:rsidR="00EC4667">
              <w:rPr>
                <w:rFonts w:eastAsia="Times New Roman" w:cs="Times New Roman"/>
                <w:color w:val="000000"/>
                <w:kern w:val="0"/>
                <w:lang w:eastAsia="en-GB"/>
                <w14:ligatures w14:val="none"/>
              </w:rPr>
              <w:t xml:space="preserve"> (UKFIU).</w:t>
            </w:r>
          </w:p>
        </w:tc>
        <w:tc>
          <w:tcPr>
            <w:tcW w:w="2210" w:type="dxa"/>
            <w:tcBorders>
              <w:top w:val="nil"/>
              <w:left w:val="nil"/>
              <w:bottom w:val="single" w:sz="4" w:space="0" w:color="auto"/>
              <w:right w:val="single" w:sz="4" w:space="0" w:color="auto"/>
            </w:tcBorders>
            <w:shd w:val="clear" w:color="auto" w:fill="F2F2F2" w:themeFill="background1" w:themeFillShade="F2"/>
            <w:noWrap/>
            <w:vAlign w:val="center"/>
          </w:tcPr>
          <w:p w14:paraId="738F501A" w14:textId="77777777" w:rsidR="003260FC" w:rsidRPr="002D754A" w:rsidRDefault="003260FC"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830" w:type="dxa"/>
            <w:tcBorders>
              <w:top w:val="nil"/>
              <w:left w:val="nil"/>
              <w:bottom w:val="single" w:sz="4" w:space="0" w:color="auto"/>
              <w:right w:val="single" w:sz="4" w:space="0" w:color="auto"/>
            </w:tcBorders>
            <w:noWrap/>
            <w:vAlign w:val="center"/>
          </w:tcPr>
          <w:p w14:paraId="4D7A893F" w14:textId="22F8DB99" w:rsidR="003260FC" w:rsidRDefault="00EC4667"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Number of Internal SARs: </w:t>
            </w:r>
          </w:p>
          <w:p w14:paraId="46782EA5" w14:textId="77777777" w:rsidR="00EC4667" w:rsidRDefault="00EC4667"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p>
          <w:p w14:paraId="5C00F6FF" w14:textId="3769AE9F" w:rsidR="00EC4667" w:rsidRPr="002D754A" w:rsidRDefault="00EC4667"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 xml:space="preserve">Number of SARs reported to UKFIU: </w:t>
            </w:r>
          </w:p>
        </w:tc>
      </w:tr>
      <w:tr w:rsidR="002D754A" w:rsidRPr="002D754A" w14:paraId="48F4F9B0" w14:textId="77777777" w:rsidTr="002D754A">
        <w:trPr>
          <w:trHeight w:val="990"/>
        </w:trPr>
        <w:tc>
          <w:tcPr>
            <w:tcW w:w="94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216C0B29" w14:textId="1B55BCFF" w:rsidR="002D754A" w:rsidRPr="00457E6D" w:rsidRDefault="002D754A" w:rsidP="002D754A">
            <w:pPr>
              <w:spacing w:after="0" w:line="240" w:lineRule="auto"/>
              <w:jc w:val="center"/>
              <w:rPr>
                <w:rFonts w:eastAsia="Times New Roman" w:cs="Times New Roman"/>
                <w:b/>
                <w:bCs/>
                <w:kern w:val="0"/>
                <w:lang w:eastAsia="en-GB"/>
                <w14:ligatures w14:val="none"/>
              </w:rPr>
            </w:pPr>
            <w:r w:rsidRPr="00457E6D">
              <w:rPr>
                <w:rFonts w:eastAsia="Times New Roman" w:cs="Times New Roman"/>
                <w:b/>
                <w:bCs/>
                <w:kern w:val="0"/>
                <w:lang w:eastAsia="en-GB"/>
                <w14:ligatures w14:val="none"/>
              </w:rPr>
              <w:t>Technology</w:t>
            </w:r>
            <w:r w:rsidRPr="00457E6D">
              <w:rPr>
                <w:rFonts w:eastAsia="Times New Roman" w:cs="Times New Roman"/>
                <w:b/>
                <w:bCs/>
                <w:kern w:val="0"/>
                <w:lang w:eastAsia="en-GB"/>
                <w14:ligatures w14:val="none"/>
              </w:rPr>
              <w:br/>
            </w:r>
            <w:r w:rsidR="00AC1A9E">
              <w:rPr>
                <w:rFonts w:eastAsia="Times New Roman" w:cs="Times New Roman"/>
                <w:b/>
                <w:bCs/>
                <w:kern w:val="0"/>
                <w:lang w:eastAsia="en-GB"/>
                <w14:ligatures w14:val="none"/>
              </w:rPr>
              <w:t>T</w:t>
            </w:r>
            <w:r w:rsidRPr="00457E6D">
              <w:rPr>
                <w:rFonts w:eastAsia="Times New Roman" w:cs="Times New Roman"/>
                <w:b/>
                <w:bCs/>
                <w:kern w:val="0"/>
                <w:lang w:eastAsia="en-GB"/>
                <w14:ligatures w14:val="none"/>
              </w:rPr>
              <w:t xml:space="preserve">he practice must have clearly documented PCPs based on their practice-wide risk </w:t>
            </w:r>
            <w:r w:rsidRPr="00457E6D">
              <w:rPr>
                <w:rFonts w:eastAsia="Times New Roman" w:cs="Times New Roman"/>
                <w:b/>
                <w:bCs/>
                <w:kern w:val="0"/>
                <w:lang w:eastAsia="en-GB"/>
                <w14:ligatures w14:val="none"/>
              </w:rPr>
              <w:br/>
              <w:t>assessment which include -</w:t>
            </w:r>
          </w:p>
        </w:tc>
      </w:tr>
      <w:tr w:rsidR="002D754A" w:rsidRPr="002D754A" w14:paraId="2CFD38FF" w14:textId="77777777" w:rsidTr="00EB3335">
        <w:trPr>
          <w:trHeight w:val="900"/>
        </w:trPr>
        <w:tc>
          <w:tcPr>
            <w:tcW w:w="1620" w:type="dxa"/>
            <w:tcBorders>
              <w:top w:val="nil"/>
              <w:left w:val="single" w:sz="4" w:space="0" w:color="auto"/>
              <w:bottom w:val="single" w:sz="4" w:space="0" w:color="auto"/>
              <w:right w:val="single" w:sz="4" w:space="0" w:color="auto"/>
            </w:tcBorders>
            <w:vAlign w:val="center"/>
            <w:hideMark/>
          </w:tcPr>
          <w:p w14:paraId="791BADF3"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30</w:t>
            </w:r>
          </w:p>
        </w:tc>
        <w:tc>
          <w:tcPr>
            <w:tcW w:w="3820" w:type="dxa"/>
            <w:tcBorders>
              <w:top w:val="nil"/>
              <w:left w:val="nil"/>
              <w:bottom w:val="single" w:sz="4" w:space="0" w:color="auto"/>
              <w:right w:val="single" w:sz="4" w:space="0" w:color="auto"/>
            </w:tcBorders>
            <w:vAlign w:val="center"/>
            <w:hideMark/>
          </w:tcPr>
          <w:p w14:paraId="1FEC1B30" w14:textId="003EB50A" w:rsidR="002D754A" w:rsidRPr="00AF24BC" w:rsidRDefault="009C5FF9" w:rsidP="002D754A">
            <w:pPr>
              <w:spacing w:after="0" w:line="240" w:lineRule="auto"/>
              <w:jc w:val="center"/>
              <w:rPr>
                <w:rFonts w:eastAsia="Times New Roman" w:cs="Times New Roman"/>
                <w:kern w:val="0"/>
                <w:lang w:eastAsia="en-GB"/>
                <w14:ligatures w14:val="none"/>
              </w:rPr>
            </w:pPr>
            <w:r w:rsidRPr="00AF24BC">
              <w:rPr>
                <w:rFonts w:eastAsia="Times New Roman" w:cs="Times New Roman"/>
                <w:kern w:val="0"/>
                <w:lang w:eastAsia="en-GB"/>
                <w14:ligatures w14:val="none"/>
              </w:rPr>
              <w:t xml:space="preserve">Does the </w:t>
            </w:r>
            <w:r w:rsidR="005672A9" w:rsidRPr="00AF24BC">
              <w:rPr>
                <w:rFonts w:eastAsia="Times New Roman" w:cs="Times New Roman"/>
                <w:kern w:val="0"/>
                <w:lang w:eastAsia="en-GB"/>
                <w14:ligatures w14:val="none"/>
              </w:rPr>
              <w:t xml:space="preserve">practice </w:t>
            </w:r>
            <w:r w:rsidRPr="00AF24BC">
              <w:rPr>
                <w:rFonts w:eastAsia="Times New Roman" w:cs="Times New Roman"/>
                <w:kern w:val="0"/>
                <w:lang w:eastAsia="en-GB"/>
                <w14:ligatures w14:val="none"/>
              </w:rPr>
              <w:t>have m</w:t>
            </w:r>
            <w:r w:rsidR="002D754A" w:rsidRPr="00AF24BC">
              <w:rPr>
                <w:rFonts w:eastAsia="Times New Roman" w:cs="Times New Roman"/>
                <w:kern w:val="0"/>
                <w:lang w:eastAsia="en-GB"/>
                <w14:ligatures w14:val="none"/>
              </w:rPr>
              <w:t xml:space="preserve">easures implemented </w:t>
            </w:r>
            <w:r w:rsidR="00D715AC" w:rsidRPr="00AF24BC">
              <w:rPr>
                <w:rFonts w:eastAsia="Times New Roman" w:cs="Times New Roman"/>
                <w:kern w:val="0"/>
                <w:lang w:eastAsia="en-GB"/>
                <w14:ligatures w14:val="none"/>
              </w:rPr>
              <w:t>for the adoption of</w:t>
            </w:r>
            <w:r w:rsidR="002D754A" w:rsidRPr="00AF24BC">
              <w:rPr>
                <w:rFonts w:eastAsia="Times New Roman" w:cs="Times New Roman"/>
                <w:kern w:val="0"/>
                <w:lang w:eastAsia="en-GB"/>
                <w14:ligatures w14:val="none"/>
              </w:rPr>
              <w:t xml:space="preserve"> new technology to ensure adequate protection against money laundering and terrorist financing risks</w:t>
            </w:r>
            <w:r w:rsidRPr="00AF24BC">
              <w:rPr>
                <w:rFonts w:eastAsia="Times New Roman" w:cs="Times New Roman"/>
                <w:kern w:val="0"/>
                <w:lang w:eastAsia="en-GB"/>
                <w14:ligatures w14:val="none"/>
              </w:rPr>
              <w:t>?</w:t>
            </w:r>
          </w:p>
          <w:p w14:paraId="35ED3B63" w14:textId="6FE6C3C5" w:rsidR="00E35865" w:rsidRPr="00457E6D" w:rsidRDefault="00E35865" w:rsidP="002D754A">
            <w:pPr>
              <w:spacing w:after="0" w:line="240" w:lineRule="auto"/>
              <w:jc w:val="center"/>
              <w:rPr>
                <w:rFonts w:eastAsia="Times New Roman" w:cs="Times New Roman"/>
                <w:color w:val="000000"/>
                <w:kern w:val="0"/>
                <w:lang w:eastAsia="en-GB"/>
                <w14:ligatures w14:val="none"/>
              </w:rPr>
            </w:pPr>
            <w:r w:rsidRPr="00AF24BC">
              <w:rPr>
                <w:rFonts w:eastAsia="Times New Roman" w:cs="Times New Roman"/>
                <w:kern w:val="0"/>
                <w:lang w:eastAsia="en-GB"/>
                <w14:ligatures w14:val="none"/>
              </w:rPr>
              <w:t>E.g.</w:t>
            </w:r>
            <w:r w:rsidR="002E1465" w:rsidRPr="00AF24BC">
              <w:rPr>
                <w:rFonts w:eastAsia="Times New Roman" w:cs="Times New Roman"/>
                <w:kern w:val="0"/>
                <w:lang w:eastAsia="en-GB"/>
                <w14:ligatures w14:val="none"/>
              </w:rPr>
              <w:t xml:space="preserve"> have the uses, advantages, and limitations of using such technology been adequately documented within the PCPs</w:t>
            </w:r>
            <w:r w:rsidR="001C683D" w:rsidRPr="00AF24BC">
              <w:rPr>
                <w:rFonts w:eastAsia="Times New Roman" w:cs="Times New Roman"/>
                <w:kern w:val="0"/>
                <w:lang w:eastAsia="en-GB"/>
                <w14:ligatures w14:val="none"/>
              </w:rPr>
              <w:t>?</w:t>
            </w:r>
            <w:r w:rsidR="002E1465" w:rsidRPr="00AF24BC">
              <w:rPr>
                <w:rFonts w:eastAsia="Times New Roman" w:cs="Times New Roman"/>
                <w:kern w:val="0"/>
                <w:lang w:eastAsia="en-GB"/>
                <w14:ligatures w14:val="none"/>
              </w:rPr>
              <w:t xml:space="preserve"> </w:t>
            </w:r>
            <w:r w:rsidRPr="00AF24BC">
              <w:rPr>
                <w:rFonts w:eastAsia="Times New Roman" w:cs="Times New Roman"/>
                <w:kern w:val="0"/>
                <w:lang w:eastAsia="en-GB"/>
                <w14:ligatures w14:val="none"/>
              </w:rPr>
              <w:t xml:space="preserve"> </w:t>
            </w:r>
          </w:p>
        </w:tc>
        <w:tc>
          <w:tcPr>
            <w:tcW w:w="2210" w:type="dxa"/>
            <w:tcBorders>
              <w:top w:val="nil"/>
              <w:left w:val="nil"/>
              <w:bottom w:val="single" w:sz="4" w:space="0" w:color="auto"/>
              <w:right w:val="single" w:sz="4" w:space="0" w:color="auto"/>
            </w:tcBorders>
            <w:noWrap/>
            <w:vAlign w:val="center"/>
            <w:hideMark/>
          </w:tcPr>
          <w:p w14:paraId="690C2565" w14:textId="43B47CF4"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12038B21" w14:textId="5150B09D"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67D3B789" w14:textId="77777777" w:rsidTr="00EB3335">
        <w:trPr>
          <w:trHeight w:val="1500"/>
        </w:trPr>
        <w:tc>
          <w:tcPr>
            <w:tcW w:w="1620" w:type="dxa"/>
            <w:tcBorders>
              <w:top w:val="nil"/>
              <w:left w:val="single" w:sz="4" w:space="0" w:color="auto"/>
              <w:bottom w:val="single" w:sz="4" w:space="0" w:color="auto"/>
              <w:right w:val="single" w:sz="4" w:space="0" w:color="auto"/>
            </w:tcBorders>
            <w:vAlign w:val="center"/>
            <w:hideMark/>
          </w:tcPr>
          <w:p w14:paraId="09805778"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lastRenderedPageBreak/>
              <w:t>LSAG Key Compliance Principle 31</w:t>
            </w:r>
          </w:p>
        </w:tc>
        <w:tc>
          <w:tcPr>
            <w:tcW w:w="3820" w:type="dxa"/>
            <w:tcBorders>
              <w:top w:val="nil"/>
              <w:left w:val="nil"/>
              <w:bottom w:val="single" w:sz="4" w:space="0" w:color="auto"/>
              <w:right w:val="single" w:sz="4" w:space="0" w:color="auto"/>
            </w:tcBorders>
            <w:vAlign w:val="center"/>
            <w:hideMark/>
          </w:tcPr>
          <w:p w14:paraId="1BA85F5A" w14:textId="50248E69" w:rsidR="002D754A" w:rsidRPr="00457E6D" w:rsidRDefault="002D754A" w:rsidP="002D754A">
            <w:pPr>
              <w:spacing w:after="0" w:line="240" w:lineRule="auto"/>
              <w:jc w:val="center"/>
              <w:rPr>
                <w:rFonts w:eastAsia="Times New Roman" w:cs="Times New Roman"/>
                <w:color w:val="000000"/>
                <w:kern w:val="0"/>
                <w:lang w:eastAsia="en-GB"/>
                <w14:ligatures w14:val="none"/>
              </w:rPr>
            </w:pPr>
            <w:r w:rsidRPr="00457E6D">
              <w:rPr>
                <w:rFonts w:eastAsia="Times New Roman" w:cs="Times New Roman"/>
                <w:color w:val="000000"/>
                <w:kern w:val="0"/>
                <w:lang w:eastAsia="en-GB"/>
                <w14:ligatures w14:val="none"/>
              </w:rPr>
              <w:t xml:space="preserve">Where electronic identification and verification (EID&amp;V) tools are used, </w:t>
            </w:r>
            <w:r w:rsidR="00A15708">
              <w:rPr>
                <w:rFonts w:eastAsia="Times New Roman" w:cs="Times New Roman"/>
                <w:color w:val="000000"/>
                <w:kern w:val="0"/>
                <w:lang w:eastAsia="en-GB"/>
                <w14:ligatures w14:val="none"/>
              </w:rPr>
              <w:t xml:space="preserve">has </w:t>
            </w:r>
            <w:r w:rsidRPr="00457E6D">
              <w:rPr>
                <w:rFonts w:eastAsia="Times New Roman" w:cs="Times New Roman"/>
                <w:color w:val="000000"/>
                <w:kern w:val="0"/>
                <w:lang w:eastAsia="en-GB"/>
                <w14:ligatures w14:val="none"/>
              </w:rPr>
              <w:t>the practice document</w:t>
            </w:r>
            <w:r w:rsidR="00A15708">
              <w:rPr>
                <w:rFonts w:eastAsia="Times New Roman" w:cs="Times New Roman"/>
                <w:color w:val="000000"/>
                <w:kern w:val="0"/>
                <w:lang w:eastAsia="en-GB"/>
                <w14:ligatures w14:val="none"/>
              </w:rPr>
              <w:t>ed</w:t>
            </w:r>
            <w:r w:rsidRPr="00457E6D">
              <w:rPr>
                <w:rFonts w:eastAsia="Times New Roman" w:cs="Times New Roman"/>
                <w:color w:val="000000"/>
                <w:kern w:val="0"/>
                <w:lang w:eastAsia="en-GB"/>
                <w14:ligatures w14:val="none"/>
              </w:rPr>
              <w:t xml:space="preserve"> the purpose of the tool, the data sources it relies on,  </w:t>
            </w:r>
            <w:r w:rsidR="00612271">
              <w:rPr>
                <w:rFonts w:eastAsia="Times New Roman" w:cs="Times New Roman"/>
                <w:color w:val="000000"/>
                <w:kern w:val="0"/>
                <w:lang w:eastAsia="en-GB"/>
                <w14:ligatures w14:val="none"/>
              </w:rPr>
              <w:t xml:space="preserve">and </w:t>
            </w:r>
            <w:r w:rsidR="00EF7DB9">
              <w:rPr>
                <w:rFonts w:eastAsia="Times New Roman" w:cs="Times New Roman"/>
                <w:color w:val="000000"/>
                <w:kern w:val="0"/>
                <w:lang w:eastAsia="en-GB"/>
                <w14:ligatures w14:val="none"/>
              </w:rPr>
              <w:t>the</w:t>
            </w:r>
            <w:r w:rsidRPr="00457E6D">
              <w:rPr>
                <w:rFonts w:eastAsia="Times New Roman" w:cs="Times New Roman"/>
                <w:color w:val="000000"/>
                <w:kern w:val="0"/>
                <w:lang w:eastAsia="en-GB"/>
                <w14:ligatures w14:val="none"/>
              </w:rPr>
              <w:t xml:space="preserve"> client or matters</w:t>
            </w:r>
            <w:r w:rsidR="00612271">
              <w:rPr>
                <w:rFonts w:eastAsia="Times New Roman" w:cs="Times New Roman"/>
                <w:color w:val="000000"/>
                <w:kern w:val="0"/>
                <w:lang w:eastAsia="en-GB"/>
                <w14:ligatures w14:val="none"/>
              </w:rPr>
              <w:t xml:space="preserve"> where </w:t>
            </w:r>
            <w:r w:rsidR="00C27202">
              <w:rPr>
                <w:rFonts w:eastAsia="Times New Roman" w:cs="Times New Roman"/>
                <w:color w:val="000000"/>
                <w:kern w:val="0"/>
                <w:lang w:eastAsia="en-GB"/>
                <w14:ligatures w14:val="none"/>
              </w:rPr>
              <w:t>the</w:t>
            </w:r>
            <w:r w:rsidRPr="00457E6D">
              <w:rPr>
                <w:rFonts w:eastAsia="Times New Roman" w:cs="Times New Roman"/>
                <w:color w:val="000000"/>
                <w:kern w:val="0"/>
                <w:lang w:eastAsia="en-GB"/>
                <w14:ligatures w14:val="none"/>
              </w:rPr>
              <w:t xml:space="preserve"> use</w:t>
            </w:r>
            <w:r w:rsidR="00C27202">
              <w:rPr>
                <w:rFonts w:eastAsia="Times New Roman" w:cs="Times New Roman"/>
                <w:color w:val="000000"/>
                <w:kern w:val="0"/>
                <w:lang w:eastAsia="en-GB"/>
                <w14:ligatures w14:val="none"/>
              </w:rPr>
              <w:t xml:space="preserve"> of the tool</w:t>
            </w:r>
            <w:r w:rsidRPr="00457E6D">
              <w:rPr>
                <w:rFonts w:eastAsia="Times New Roman" w:cs="Times New Roman"/>
                <w:color w:val="000000"/>
                <w:kern w:val="0"/>
                <w:lang w:eastAsia="en-GB"/>
                <w14:ligatures w14:val="none"/>
              </w:rPr>
              <w:t xml:space="preserve"> is appropriate</w:t>
            </w:r>
            <w:r w:rsidR="009C5FF9">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255EC17C" w14:textId="3D2468F6"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3F3177F5" w14:textId="198A808E"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p>
        </w:tc>
      </w:tr>
      <w:tr w:rsidR="002D754A" w:rsidRPr="002D754A" w14:paraId="4A3BF919" w14:textId="77777777" w:rsidTr="002D754A">
        <w:trPr>
          <w:trHeight w:val="810"/>
        </w:trPr>
        <w:tc>
          <w:tcPr>
            <w:tcW w:w="94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4034F230" w14:textId="77777777" w:rsidR="002D754A" w:rsidRPr="00457E6D" w:rsidRDefault="002D754A" w:rsidP="002D754A">
            <w:pPr>
              <w:spacing w:after="0" w:line="240" w:lineRule="auto"/>
              <w:jc w:val="center"/>
              <w:rPr>
                <w:rFonts w:ascii="Aptos" w:eastAsia="Times New Roman" w:hAnsi="Aptos" w:cs="Times New Roman"/>
                <w:b/>
                <w:bCs/>
                <w:kern w:val="0"/>
                <w:lang w:eastAsia="en-GB"/>
                <w14:ligatures w14:val="none"/>
              </w:rPr>
            </w:pPr>
            <w:r w:rsidRPr="00457E6D">
              <w:rPr>
                <w:rFonts w:ascii="Aptos" w:eastAsia="Times New Roman" w:hAnsi="Aptos" w:cs="Times New Roman"/>
                <w:b/>
                <w:bCs/>
                <w:kern w:val="0"/>
                <w:lang w:eastAsia="en-GB"/>
                <w14:ligatures w14:val="none"/>
              </w:rPr>
              <w:t>Training</w:t>
            </w:r>
            <w:r w:rsidRPr="00457E6D">
              <w:rPr>
                <w:rFonts w:ascii="Aptos" w:eastAsia="Times New Roman" w:hAnsi="Aptos" w:cs="Times New Roman"/>
                <w:b/>
                <w:bCs/>
                <w:kern w:val="0"/>
                <w:lang w:eastAsia="en-GB"/>
                <w14:ligatures w14:val="none"/>
              </w:rPr>
              <w:br/>
              <w:t xml:space="preserve">The practice must have clearly documented PCPs based on their practice-wide risk </w:t>
            </w:r>
            <w:r w:rsidRPr="00457E6D">
              <w:rPr>
                <w:rFonts w:ascii="Aptos" w:eastAsia="Times New Roman" w:hAnsi="Aptos" w:cs="Times New Roman"/>
                <w:b/>
                <w:bCs/>
                <w:kern w:val="0"/>
                <w:lang w:eastAsia="en-GB"/>
                <w14:ligatures w14:val="none"/>
              </w:rPr>
              <w:br/>
              <w:t>assessment which include -</w:t>
            </w:r>
          </w:p>
        </w:tc>
      </w:tr>
      <w:tr w:rsidR="002D754A" w:rsidRPr="002D754A" w14:paraId="489F7FF7" w14:textId="77777777" w:rsidTr="00EB3335">
        <w:trPr>
          <w:trHeight w:val="2700"/>
        </w:trPr>
        <w:tc>
          <w:tcPr>
            <w:tcW w:w="1620" w:type="dxa"/>
            <w:tcBorders>
              <w:top w:val="nil"/>
              <w:left w:val="single" w:sz="4" w:space="0" w:color="auto"/>
              <w:bottom w:val="single" w:sz="4" w:space="0" w:color="auto"/>
              <w:right w:val="single" w:sz="4" w:space="0" w:color="auto"/>
            </w:tcBorders>
            <w:vAlign w:val="center"/>
            <w:hideMark/>
          </w:tcPr>
          <w:p w14:paraId="79D00FDE"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32</w:t>
            </w:r>
          </w:p>
        </w:tc>
        <w:tc>
          <w:tcPr>
            <w:tcW w:w="3820" w:type="dxa"/>
            <w:tcBorders>
              <w:top w:val="nil"/>
              <w:left w:val="nil"/>
              <w:bottom w:val="single" w:sz="4" w:space="0" w:color="auto"/>
              <w:right w:val="single" w:sz="4" w:space="0" w:color="auto"/>
            </w:tcBorders>
            <w:vAlign w:val="center"/>
            <w:hideMark/>
          </w:tcPr>
          <w:p w14:paraId="523149EC" w14:textId="77777777" w:rsidR="00BF7AB7" w:rsidRDefault="009C5FF9"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Have m</w:t>
            </w:r>
            <w:r w:rsidR="002D754A" w:rsidRPr="00457E6D">
              <w:rPr>
                <w:rFonts w:eastAsia="Times New Roman" w:cs="Times New Roman"/>
                <w:color w:val="000000"/>
                <w:kern w:val="0"/>
                <w:lang w:eastAsia="en-GB"/>
                <w14:ligatures w14:val="none"/>
              </w:rPr>
              <w:t xml:space="preserve">easures </w:t>
            </w:r>
            <w:r>
              <w:rPr>
                <w:rFonts w:eastAsia="Times New Roman" w:cs="Times New Roman"/>
                <w:color w:val="000000"/>
                <w:kern w:val="0"/>
                <w:lang w:eastAsia="en-GB"/>
                <w14:ligatures w14:val="none"/>
              </w:rPr>
              <w:t xml:space="preserve">been </w:t>
            </w:r>
            <w:r w:rsidR="002D754A" w:rsidRPr="00457E6D">
              <w:rPr>
                <w:rFonts w:eastAsia="Times New Roman" w:cs="Times New Roman"/>
                <w:color w:val="000000"/>
                <w:kern w:val="0"/>
                <w:lang w:eastAsia="en-GB"/>
                <w14:ligatures w14:val="none"/>
              </w:rPr>
              <w:t>implemented to ensure that partners, staff and agents receive AML</w:t>
            </w:r>
            <w:r w:rsidR="002D754A" w:rsidRPr="00457E6D">
              <w:rPr>
                <w:rFonts w:eastAsia="Times New Roman" w:cs="Times New Roman"/>
                <w:color w:val="000000"/>
                <w:kern w:val="0"/>
                <w:lang w:eastAsia="en-GB"/>
                <w14:ligatures w14:val="none"/>
              </w:rPr>
              <w:noBreakHyphen/>
              <w:t>relevant training, including the maintenance of appropriate training records</w:t>
            </w:r>
            <w:r w:rsidR="00276AEE">
              <w:rPr>
                <w:rFonts w:eastAsia="Times New Roman" w:cs="Times New Roman"/>
                <w:color w:val="000000"/>
                <w:kern w:val="0"/>
                <w:lang w:eastAsia="en-GB"/>
                <w14:ligatures w14:val="none"/>
              </w:rPr>
              <w:t>?</w:t>
            </w:r>
            <w:r w:rsidR="002D754A" w:rsidRPr="00457E6D">
              <w:rPr>
                <w:rFonts w:eastAsia="Times New Roman" w:cs="Times New Roman"/>
                <w:color w:val="000000"/>
                <w:kern w:val="0"/>
                <w:lang w:eastAsia="en-GB"/>
                <w14:ligatures w14:val="none"/>
              </w:rPr>
              <w:t xml:space="preserve"> </w:t>
            </w:r>
          </w:p>
          <w:p w14:paraId="0687C3A8" w14:textId="77777777" w:rsidR="00BF7AB7" w:rsidRDefault="002D754A" w:rsidP="002D754A">
            <w:pPr>
              <w:spacing w:after="0" w:line="240" w:lineRule="auto"/>
              <w:jc w:val="center"/>
              <w:rPr>
                <w:rFonts w:eastAsia="Times New Roman" w:cs="Times New Roman"/>
                <w:color w:val="000000"/>
                <w:kern w:val="0"/>
                <w:lang w:eastAsia="en-GB"/>
                <w14:ligatures w14:val="none"/>
              </w:rPr>
            </w:pPr>
            <w:r w:rsidRPr="00457E6D">
              <w:rPr>
                <w:rFonts w:eastAsia="Times New Roman" w:cs="Times New Roman"/>
                <w:color w:val="000000"/>
                <w:kern w:val="0"/>
                <w:lang w:eastAsia="en-GB"/>
                <w14:ligatures w14:val="none"/>
              </w:rPr>
              <w:t xml:space="preserve">Such training must cover the requirements of the MLRs, Part 7 of the Proceeds of Crime Act, and Part 3 of the Terrorism Act, as well as legal professional privilege and data protection obligations. </w:t>
            </w:r>
          </w:p>
          <w:p w14:paraId="3DFDA50B" w14:textId="47EDBD66" w:rsidR="002D754A" w:rsidRPr="00457E6D" w:rsidRDefault="002D754A" w:rsidP="002D754A">
            <w:pPr>
              <w:spacing w:after="0" w:line="240" w:lineRule="auto"/>
              <w:jc w:val="center"/>
              <w:rPr>
                <w:rFonts w:eastAsia="Times New Roman" w:cs="Times New Roman"/>
                <w:color w:val="000000"/>
                <w:kern w:val="0"/>
                <w:lang w:eastAsia="en-GB"/>
                <w14:ligatures w14:val="none"/>
              </w:rPr>
            </w:pPr>
            <w:r w:rsidRPr="00457E6D">
              <w:rPr>
                <w:rFonts w:eastAsia="Times New Roman" w:cs="Times New Roman"/>
                <w:color w:val="000000"/>
                <w:kern w:val="0"/>
                <w:lang w:eastAsia="en-GB"/>
                <w14:ligatures w14:val="none"/>
              </w:rPr>
              <w:t>It should also include the identification of red flags and risk indicators relevant to their roles, together with any other applicable legal requirements.</w:t>
            </w:r>
          </w:p>
        </w:tc>
        <w:tc>
          <w:tcPr>
            <w:tcW w:w="2210" w:type="dxa"/>
            <w:tcBorders>
              <w:top w:val="nil"/>
              <w:left w:val="nil"/>
              <w:bottom w:val="single" w:sz="4" w:space="0" w:color="auto"/>
              <w:right w:val="single" w:sz="4" w:space="0" w:color="auto"/>
            </w:tcBorders>
            <w:noWrap/>
            <w:vAlign w:val="center"/>
            <w:hideMark/>
          </w:tcPr>
          <w:p w14:paraId="46B17854" w14:textId="38DB776A"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2162067C" w14:textId="7172931C"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6B700558" w14:textId="77777777" w:rsidTr="00EB3335">
        <w:trPr>
          <w:trHeight w:val="630"/>
        </w:trPr>
        <w:tc>
          <w:tcPr>
            <w:tcW w:w="1620" w:type="dxa"/>
            <w:tcBorders>
              <w:top w:val="nil"/>
              <w:left w:val="single" w:sz="4" w:space="0" w:color="auto"/>
              <w:bottom w:val="single" w:sz="4" w:space="0" w:color="auto"/>
              <w:right w:val="single" w:sz="4" w:space="0" w:color="auto"/>
            </w:tcBorders>
            <w:vAlign w:val="center"/>
            <w:hideMark/>
          </w:tcPr>
          <w:p w14:paraId="29FCF40F"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33</w:t>
            </w:r>
          </w:p>
        </w:tc>
        <w:tc>
          <w:tcPr>
            <w:tcW w:w="3820" w:type="dxa"/>
            <w:tcBorders>
              <w:top w:val="nil"/>
              <w:left w:val="nil"/>
              <w:bottom w:val="single" w:sz="4" w:space="0" w:color="auto"/>
              <w:right w:val="single" w:sz="4" w:space="0" w:color="auto"/>
            </w:tcBorders>
            <w:vAlign w:val="center"/>
            <w:hideMark/>
          </w:tcPr>
          <w:p w14:paraId="682BA84E" w14:textId="16D008DE" w:rsidR="002D754A" w:rsidRPr="00457E6D" w:rsidRDefault="00276AEE"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Does the </w:t>
            </w:r>
            <w:r w:rsidR="003B73C0">
              <w:rPr>
                <w:rFonts w:eastAsia="Times New Roman" w:cs="Times New Roman"/>
                <w:color w:val="000000"/>
                <w:kern w:val="0"/>
                <w:lang w:eastAsia="en-GB"/>
                <w14:ligatures w14:val="none"/>
              </w:rPr>
              <w:t xml:space="preserve">practice </w:t>
            </w:r>
            <w:r>
              <w:rPr>
                <w:rFonts w:eastAsia="Times New Roman" w:cs="Times New Roman"/>
                <w:color w:val="000000"/>
                <w:kern w:val="0"/>
                <w:lang w:eastAsia="en-GB"/>
                <w14:ligatures w14:val="none"/>
              </w:rPr>
              <w:t>have p</w:t>
            </w:r>
            <w:r w:rsidR="002D754A" w:rsidRPr="00457E6D">
              <w:rPr>
                <w:rFonts w:eastAsia="Times New Roman" w:cs="Times New Roman"/>
                <w:color w:val="000000"/>
                <w:kern w:val="0"/>
                <w:lang w:eastAsia="en-GB"/>
                <w14:ligatures w14:val="none"/>
              </w:rPr>
              <w:t>rocedures for communicating the practice’s PCPs to partners and staff</w:t>
            </w:r>
            <w:r>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6DE4B5C3" w14:textId="5680F360"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7A1DFC96" w14:textId="53829CF8"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1D98A68C" w14:textId="77777777" w:rsidTr="002D754A">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5C317CF0" w14:textId="77777777" w:rsidR="002D754A" w:rsidRDefault="002D754A" w:rsidP="002D754A">
            <w:pPr>
              <w:spacing w:after="0" w:line="240" w:lineRule="auto"/>
              <w:jc w:val="center"/>
              <w:rPr>
                <w:rFonts w:eastAsia="Times New Roman" w:cs="Times New Roman"/>
                <w:b/>
                <w:bCs/>
                <w:kern w:val="0"/>
                <w:lang w:eastAsia="en-GB"/>
                <w14:ligatures w14:val="none"/>
              </w:rPr>
            </w:pPr>
            <w:r w:rsidRPr="00457E6D">
              <w:rPr>
                <w:rFonts w:eastAsia="Times New Roman" w:cs="Times New Roman"/>
                <w:b/>
                <w:bCs/>
                <w:kern w:val="0"/>
                <w:lang w:eastAsia="en-GB"/>
                <w14:ligatures w14:val="none"/>
              </w:rPr>
              <w:t>Internal Controls</w:t>
            </w:r>
          </w:p>
          <w:p w14:paraId="4389EEBD" w14:textId="546F8763" w:rsidR="00244769" w:rsidRPr="00457E6D" w:rsidRDefault="00244769" w:rsidP="002D754A">
            <w:pPr>
              <w:spacing w:after="0" w:line="240" w:lineRule="auto"/>
              <w:jc w:val="center"/>
              <w:rPr>
                <w:rFonts w:eastAsia="Times New Roman" w:cs="Times New Roman"/>
                <w:b/>
                <w:bCs/>
                <w:kern w:val="0"/>
                <w:lang w:eastAsia="en-GB"/>
                <w14:ligatures w14:val="none"/>
              </w:rPr>
            </w:pPr>
            <w:r>
              <w:rPr>
                <w:rFonts w:eastAsia="Times New Roman" w:cs="Times New Roman"/>
                <w:b/>
                <w:bCs/>
                <w:kern w:val="0"/>
                <w:lang w:eastAsia="en-GB"/>
                <w14:ligatures w14:val="none"/>
              </w:rPr>
              <w:t>(Where appropriate to the size and nature of the practice)</w:t>
            </w:r>
          </w:p>
        </w:tc>
      </w:tr>
      <w:tr w:rsidR="002D754A" w:rsidRPr="002D754A" w14:paraId="13928275" w14:textId="77777777" w:rsidTr="00EB3335">
        <w:trPr>
          <w:trHeight w:val="900"/>
        </w:trPr>
        <w:tc>
          <w:tcPr>
            <w:tcW w:w="1620" w:type="dxa"/>
            <w:tcBorders>
              <w:top w:val="nil"/>
              <w:left w:val="single" w:sz="4" w:space="0" w:color="auto"/>
              <w:bottom w:val="single" w:sz="4" w:space="0" w:color="auto"/>
              <w:right w:val="single" w:sz="4" w:space="0" w:color="auto"/>
            </w:tcBorders>
            <w:vAlign w:val="center"/>
            <w:hideMark/>
          </w:tcPr>
          <w:p w14:paraId="043A1331"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34</w:t>
            </w:r>
          </w:p>
        </w:tc>
        <w:tc>
          <w:tcPr>
            <w:tcW w:w="3820" w:type="dxa"/>
            <w:tcBorders>
              <w:top w:val="nil"/>
              <w:left w:val="nil"/>
              <w:bottom w:val="single" w:sz="4" w:space="0" w:color="auto"/>
              <w:right w:val="single" w:sz="4" w:space="0" w:color="auto"/>
            </w:tcBorders>
            <w:vAlign w:val="center"/>
            <w:hideMark/>
          </w:tcPr>
          <w:p w14:paraId="25EF4C85" w14:textId="6E9534B3" w:rsidR="002D754A" w:rsidRDefault="00BD1B43"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Has the</w:t>
            </w:r>
            <w:r w:rsidR="002D754A" w:rsidRPr="00457E6D">
              <w:rPr>
                <w:rFonts w:eastAsia="Times New Roman" w:cs="Times New Roman"/>
                <w:color w:val="000000"/>
                <w:kern w:val="0"/>
                <w:lang w:eastAsia="en-GB"/>
                <w14:ligatures w14:val="none"/>
              </w:rPr>
              <w:t xml:space="preserve"> practice </w:t>
            </w:r>
            <w:r>
              <w:rPr>
                <w:rFonts w:eastAsia="Times New Roman" w:cs="Times New Roman"/>
                <w:color w:val="000000"/>
                <w:kern w:val="0"/>
                <w:lang w:eastAsia="en-GB"/>
                <w14:ligatures w14:val="none"/>
              </w:rPr>
              <w:t xml:space="preserve">carried out </w:t>
            </w:r>
            <w:r w:rsidR="002D754A" w:rsidRPr="00457E6D">
              <w:rPr>
                <w:rFonts w:eastAsia="Times New Roman" w:cs="Times New Roman"/>
                <w:color w:val="000000"/>
                <w:kern w:val="0"/>
                <w:lang w:eastAsia="en-GB"/>
                <w14:ligatures w14:val="none"/>
              </w:rPr>
              <w:t>an independent audit to assess the adequacy and effectiveness of its AML policies, controls and procedures</w:t>
            </w:r>
            <w:r w:rsidR="00BF7AB7">
              <w:rPr>
                <w:rFonts w:eastAsia="Times New Roman" w:cs="Times New Roman"/>
                <w:color w:val="000000"/>
                <w:kern w:val="0"/>
                <w:lang w:eastAsia="en-GB"/>
                <w14:ligatures w14:val="none"/>
              </w:rPr>
              <w:t>?</w:t>
            </w:r>
          </w:p>
          <w:p w14:paraId="42FEF978" w14:textId="27AEB17C" w:rsidR="00FC0C76" w:rsidRPr="00457E6D" w:rsidRDefault="00FC0C76"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 xml:space="preserve">Where the practice has carried out an independent audit, in the “Practice Comments” section please provide the date of the most recent audit, who performed the audit and an overview as to the scope of the audit. </w:t>
            </w:r>
          </w:p>
        </w:tc>
        <w:tc>
          <w:tcPr>
            <w:tcW w:w="2210" w:type="dxa"/>
            <w:tcBorders>
              <w:top w:val="nil"/>
              <w:left w:val="nil"/>
              <w:bottom w:val="single" w:sz="4" w:space="0" w:color="auto"/>
              <w:right w:val="single" w:sz="4" w:space="0" w:color="auto"/>
            </w:tcBorders>
            <w:noWrap/>
            <w:vAlign w:val="center"/>
            <w:hideMark/>
          </w:tcPr>
          <w:p w14:paraId="4AB5530D" w14:textId="6B868A8C"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293FE720" w14:textId="54CCC36A"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7FE1EB64" w14:textId="77777777" w:rsidTr="00EB3335">
        <w:trPr>
          <w:trHeight w:val="900"/>
        </w:trPr>
        <w:tc>
          <w:tcPr>
            <w:tcW w:w="1620" w:type="dxa"/>
            <w:tcBorders>
              <w:top w:val="nil"/>
              <w:left w:val="single" w:sz="4" w:space="0" w:color="auto"/>
              <w:bottom w:val="single" w:sz="4" w:space="0" w:color="auto"/>
              <w:right w:val="single" w:sz="4" w:space="0" w:color="auto"/>
            </w:tcBorders>
            <w:vAlign w:val="center"/>
            <w:hideMark/>
          </w:tcPr>
          <w:p w14:paraId="76A36F15"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lastRenderedPageBreak/>
              <w:t>LSAG Key Compliance Principle 35</w:t>
            </w:r>
          </w:p>
        </w:tc>
        <w:tc>
          <w:tcPr>
            <w:tcW w:w="3820" w:type="dxa"/>
            <w:tcBorders>
              <w:top w:val="nil"/>
              <w:left w:val="nil"/>
              <w:bottom w:val="single" w:sz="4" w:space="0" w:color="auto"/>
              <w:right w:val="single" w:sz="4" w:space="0" w:color="auto"/>
            </w:tcBorders>
            <w:vAlign w:val="center"/>
            <w:hideMark/>
          </w:tcPr>
          <w:p w14:paraId="76E97BC0" w14:textId="263E5D38" w:rsidR="002D754A" w:rsidRPr="00457E6D" w:rsidRDefault="00BD1B43"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Has the</w:t>
            </w:r>
            <w:r w:rsidR="002D754A" w:rsidRPr="00457E6D">
              <w:rPr>
                <w:rFonts w:eastAsia="Times New Roman" w:cs="Times New Roman"/>
                <w:color w:val="000000"/>
                <w:kern w:val="0"/>
                <w:lang w:eastAsia="en-GB"/>
                <w14:ligatures w14:val="none"/>
              </w:rPr>
              <w:t xml:space="preserve"> practice undertake</w:t>
            </w:r>
            <w:r>
              <w:rPr>
                <w:rFonts w:eastAsia="Times New Roman" w:cs="Times New Roman"/>
                <w:color w:val="000000"/>
                <w:kern w:val="0"/>
                <w:lang w:eastAsia="en-GB"/>
                <w14:ligatures w14:val="none"/>
              </w:rPr>
              <w:t>n</w:t>
            </w:r>
            <w:r w:rsidR="002D754A" w:rsidRPr="00457E6D">
              <w:rPr>
                <w:rFonts w:eastAsia="Times New Roman" w:cs="Times New Roman"/>
                <w:color w:val="000000"/>
                <w:kern w:val="0"/>
                <w:lang w:eastAsia="en-GB"/>
                <w14:ligatures w14:val="none"/>
              </w:rPr>
              <w:t xml:space="preserve"> screening of relevant employees both at the pre</w:t>
            </w:r>
            <w:r w:rsidR="002D754A" w:rsidRPr="00457E6D">
              <w:rPr>
                <w:rFonts w:eastAsia="Times New Roman" w:cs="Times New Roman"/>
                <w:color w:val="000000"/>
                <w:kern w:val="0"/>
                <w:lang w:eastAsia="en-GB"/>
                <w14:ligatures w14:val="none"/>
              </w:rPr>
              <w:noBreakHyphen/>
              <w:t>employment stage and on an ongoing basis</w:t>
            </w:r>
            <w:r w:rsidR="00BF7AB7">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763D7027" w14:textId="337676E1"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p>
        </w:tc>
        <w:tc>
          <w:tcPr>
            <w:tcW w:w="1830" w:type="dxa"/>
            <w:tcBorders>
              <w:top w:val="nil"/>
              <w:left w:val="nil"/>
              <w:bottom w:val="single" w:sz="4" w:space="0" w:color="auto"/>
              <w:right w:val="single" w:sz="4" w:space="0" w:color="auto"/>
            </w:tcBorders>
            <w:noWrap/>
            <w:vAlign w:val="center"/>
            <w:hideMark/>
          </w:tcPr>
          <w:p w14:paraId="2E048EAA" w14:textId="4E7193DF"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r w:rsidR="002D754A" w:rsidRPr="002D754A" w14:paraId="246BD888" w14:textId="77777777" w:rsidTr="002D754A">
        <w:trPr>
          <w:trHeight w:val="300"/>
        </w:trPr>
        <w:tc>
          <w:tcPr>
            <w:tcW w:w="94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19106127" w14:textId="77777777" w:rsidR="002D754A" w:rsidRPr="00457E6D" w:rsidRDefault="002D754A" w:rsidP="002D754A">
            <w:pPr>
              <w:spacing w:after="0" w:line="240" w:lineRule="auto"/>
              <w:jc w:val="center"/>
              <w:rPr>
                <w:rFonts w:eastAsia="Times New Roman" w:cs="Times New Roman"/>
                <w:b/>
                <w:bCs/>
                <w:kern w:val="0"/>
                <w:lang w:eastAsia="en-GB"/>
                <w14:ligatures w14:val="none"/>
              </w:rPr>
            </w:pPr>
            <w:r w:rsidRPr="00457E6D">
              <w:rPr>
                <w:rFonts w:eastAsia="Times New Roman" w:cs="Times New Roman"/>
                <w:b/>
                <w:bCs/>
                <w:kern w:val="0"/>
                <w:lang w:eastAsia="en-GB"/>
                <w14:ligatures w14:val="none"/>
              </w:rPr>
              <w:t>Record Keeping</w:t>
            </w:r>
          </w:p>
        </w:tc>
      </w:tr>
      <w:tr w:rsidR="002D754A" w:rsidRPr="002D754A" w14:paraId="765349EC" w14:textId="77777777" w:rsidTr="00EB3335">
        <w:trPr>
          <w:trHeight w:val="900"/>
        </w:trPr>
        <w:tc>
          <w:tcPr>
            <w:tcW w:w="1620" w:type="dxa"/>
            <w:tcBorders>
              <w:top w:val="nil"/>
              <w:left w:val="single" w:sz="4" w:space="0" w:color="auto"/>
              <w:bottom w:val="single" w:sz="4" w:space="0" w:color="auto"/>
              <w:right w:val="single" w:sz="4" w:space="0" w:color="auto"/>
            </w:tcBorders>
            <w:vAlign w:val="center"/>
            <w:hideMark/>
          </w:tcPr>
          <w:p w14:paraId="585E9832" w14:textId="77777777" w:rsidR="002D754A" w:rsidRPr="002D754A" w:rsidRDefault="002D754A" w:rsidP="002D754A">
            <w:pPr>
              <w:spacing w:after="0" w:line="240" w:lineRule="auto"/>
              <w:jc w:val="center"/>
              <w:rPr>
                <w:rFonts w:ascii="Aptos" w:eastAsia="Times New Roman" w:hAnsi="Aptos" w:cs="Times New Roman"/>
                <w:b/>
                <w:bCs/>
                <w:kern w:val="0"/>
                <w:lang w:eastAsia="en-GB"/>
                <w14:ligatures w14:val="none"/>
              </w:rPr>
            </w:pPr>
            <w:r w:rsidRPr="002D754A">
              <w:rPr>
                <w:rFonts w:ascii="Aptos" w:eastAsia="Times New Roman" w:hAnsi="Aptos" w:cs="Times New Roman"/>
                <w:b/>
                <w:bCs/>
                <w:kern w:val="0"/>
                <w:lang w:eastAsia="en-GB"/>
                <w14:ligatures w14:val="none"/>
              </w:rPr>
              <w:t>LSAG Key Compliance Principle 36</w:t>
            </w:r>
          </w:p>
        </w:tc>
        <w:tc>
          <w:tcPr>
            <w:tcW w:w="3820" w:type="dxa"/>
            <w:tcBorders>
              <w:top w:val="nil"/>
              <w:left w:val="nil"/>
              <w:bottom w:val="single" w:sz="4" w:space="0" w:color="auto"/>
              <w:right w:val="single" w:sz="4" w:space="0" w:color="auto"/>
            </w:tcBorders>
            <w:vAlign w:val="center"/>
            <w:hideMark/>
          </w:tcPr>
          <w:p w14:paraId="4001983F" w14:textId="1BEA69A1" w:rsidR="002D754A" w:rsidRPr="00457E6D" w:rsidRDefault="00BD1B43" w:rsidP="002D754A">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Has t</w:t>
            </w:r>
            <w:r w:rsidR="002D754A" w:rsidRPr="00457E6D">
              <w:rPr>
                <w:rFonts w:eastAsia="Times New Roman" w:cs="Times New Roman"/>
                <w:color w:val="000000"/>
                <w:kern w:val="0"/>
                <w:lang w:eastAsia="en-GB"/>
                <w14:ligatures w14:val="none"/>
              </w:rPr>
              <w:t xml:space="preserve">he practice </w:t>
            </w:r>
            <w:r>
              <w:rPr>
                <w:rFonts w:eastAsia="Times New Roman" w:cs="Times New Roman"/>
                <w:color w:val="000000"/>
                <w:kern w:val="0"/>
                <w:lang w:eastAsia="en-GB"/>
                <w14:ligatures w14:val="none"/>
              </w:rPr>
              <w:t>developed</w:t>
            </w:r>
            <w:r w:rsidR="002D754A" w:rsidRPr="00457E6D">
              <w:rPr>
                <w:rFonts w:eastAsia="Times New Roman" w:cs="Times New Roman"/>
                <w:color w:val="000000"/>
                <w:kern w:val="0"/>
                <w:lang w:eastAsia="en-GB"/>
                <w14:ligatures w14:val="none"/>
              </w:rPr>
              <w:t xml:space="preserve"> procedures governing recordkeeping and the associated data protection requirements</w:t>
            </w:r>
            <w:r w:rsidR="00BF7AB7">
              <w:rPr>
                <w:rFonts w:eastAsia="Times New Roman" w:cs="Times New Roman"/>
                <w:color w:val="000000"/>
                <w:kern w:val="0"/>
                <w:lang w:eastAsia="en-GB"/>
                <w14:ligatures w14:val="none"/>
              </w:rPr>
              <w:t>?</w:t>
            </w:r>
          </w:p>
        </w:tc>
        <w:tc>
          <w:tcPr>
            <w:tcW w:w="2210" w:type="dxa"/>
            <w:tcBorders>
              <w:top w:val="nil"/>
              <w:left w:val="nil"/>
              <w:bottom w:val="single" w:sz="4" w:space="0" w:color="auto"/>
              <w:right w:val="single" w:sz="4" w:space="0" w:color="auto"/>
            </w:tcBorders>
            <w:noWrap/>
            <w:vAlign w:val="center"/>
            <w:hideMark/>
          </w:tcPr>
          <w:p w14:paraId="183A79D0" w14:textId="62BB543A" w:rsidR="002D754A" w:rsidRPr="002D754A" w:rsidRDefault="0019644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rsidRPr="0025453B">
              <w:rPr>
                <w:rFonts w:ascii="Aptos" w:eastAsia="Times New Roman" w:hAnsi="Aptos" w:cs="Times New Roman"/>
                <w:b/>
                <w:bCs/>
                <w:color w:val="000000"/>
                <w:kern w:val="0"/>
                <w:lang w:eastAsia="en-GB"/>
                <w14:ligatures w14:val="none"/>
              </w:rPr>
              <w:t>Yes / No / Not Applicable</w:t>
            </w:r>
            <w:r w:rsidR="002D754A" w:rsidRPr="002D754A">
              <w:rPr>
                <w:rFonts w:ascii="Aptos Narrow" w:eastAsia="Times New Roman" w:hAnsi="Aptos Narrow" w:cs="Times New Roman"/>
                <w:color w:val="000000"/>
                <w:kern w:val="0"/>
                <w:sz w:val="22"/>
                <w:szCs w:val="22"/>
                <w:lang w:eastAsia="en-GB"/>
                <w14:ligatures w14:val="none"/>
              </w:rPr>
              <w:t> </w:t>
            </w:r>
          </w:p>
        </w:tc>
        <w:tc>
          <w:tcPr>
            <w:tcW w:w="1830" w:type="dxa"/>
            <w:tcBorders>
              <w:top w:val="nil"/>
              <w:left w:val="nil"/>
              <w:bottom w:val="single" w:sz="4" w:space="0" w:color="auto"/>
              <w:right w:val="single" w:sz="4" w:space="0" w:color="auto"/>
            </w:tcBorders>
            <w:noWrap/>
            <w:vAlign w:val="center"/>
            <w:hideMark/>
          </w:tcPr>
          <w:p w14:paraId="165FDAA3" w14:textId="7642AE18" w:rsidR="002D754A" w:rsidRPr="002D754A" w:rsidRDefault="008570DD" w:rsidP="002D754A">
            <w:pPr>
              <w:spacing w:after="0" w:line="240" w:lineRule="auto"/>
              <w:jc w:val="center"/>
              <w:rPr>
                <w:rFonts w:ascii="Aptos Narrow" w:eastAsia="Times New Roman" w:hAnsi="Aptos Narrow" w:cs="Times New Roman"/>
                <w:color w:val="000000"/>
                <w:kern w:val="0"/>
                <w:sz w:val="22"/>
                <w:szCs w:val="22"/>
                <w:lang w:eastAsia="en-GB"/>
                <w14:ligatures w14:val="none"/>
              </w:rPr>
            </w:pPr>
            <w:r>
              <w:t>Free Text</w:t>
            </w:r>
            <w:r w:rsidR="002D754A" w:rsidRPr="002D754A">
              <w:rPr>
                <w:rFonts w:ascii="Aptos Narrow" w:eastAsia="Times New Roman" w:hAnsi="Aptos Narrow" w:cs="Times New Roman"/>
                <w:color w:val="000000"/>
                <w:kern w:val="0"/>
                <w:sz w:val="22"/>
                <w:szCs w:val="22"/>
                <w:lang w:eastAsia="en-GB"/>
                <w14:ligatures w14:val="none"/>
              </w:rPr>
              <w:t> </w:t>
            </w:r>
          </w:p>
        </w:tc>
      </w:tr>
    </w:tbl>
    <w:p w14:paraId="3E4CC56E" w14:textId="78E589A8" w:rsidR="00AB0E25" w:rsidRPr="00AB0E25" w:rsidRDefault="00AB0E25" w:rsidP="00AB0E25"/>
    <w:p w14:paraId="5938CA20" w14:textId="5058743B" w:rsidR="00AB0E25" w:rsidRPr="00AB0E25" w:rsidRDefault="00AB0E25" w:rsidP="00AB0E25">
      <w:r w:rsidRPr="00AB0E25">
        <w:t> </w:t>
      </w:r>
    </w:p>
    <w:p w14:paraId="4CD97481" w14:textId="77777777" w:rsidR="00AB0E25" w:rsidRPr="00AB0E25" w:rsidRDefault="00AB0E25" w:rsidP="00AB0E25">
      <w:r w:rsidRPr="00AB0E25">
        <w:t> </w:t>
      </w:r>
    </w:p>
    <w:p w14:paraId="6D81F3F6" w14:textId="77777777" w:rsidR="00AB0E25" w:rsidRDefault="00AB0E25" w:rsidP="007044DA"/>
    <w:sectPr w:rsidR="00AB0E25">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781E" w14:textId="77777777" w:rsidR="006B15DA" w:rsidRDefault="006B15DA" w:rsidP="00492039">
      <w:pPr>
        <w:spacing w:after="0" w:line="240" w:lineRule="auto"/>
      </w:pPr>
      <w:r>
        <w:separator/>
      </w:r>
    </w:p>
  </w:endnote>
  <w:endnote w:type="continuationSeparator" w:id="0">
    <w:p w14:paraId="4E40CAB6" w14:textId="77777777" w:rsidR="006B15DA" w:rsidRDefault="006B15DA" w:rsidP="0049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A389" w14:textId="77777777" w:rsidR="006B15DA" w:rsidRDefault="006B15DA" w:rsidP="00492039">
      <w:pPr>
        <w:spacing w:after="0" w:line="240" w:lineRule="auto"/>
      </w:pPr>
      <w:r>
        <w:separator/>
      </w:r>
    </w:p>
  </w:footnote>
  <w:footnote w:type="continuationSeparator" w:id="0">
    <w:p w14:paraId="51658C7C" w14:textId="77777777" w:rsidR="006B15DA" w:rsidRDefault="006B15DA" w:rsidP="00492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A929" w14:textId="1F3051F0" w:rsidR="00492039" w:rsidRDefault="00492039">
    <w:pPr>
      <w:pStyle w:val="Header"/>
    </w:pPr>
    <w:r>
      <w:rPr>
        <w:noProof/>
      </w:rPr>
      <mc:AlternateContent>
        <mc:Choice Requires="wps">
          <w:drawing>
            <wp:anchor distT="0" distB="0" distL="0" distR="0" simplePos="0" relativeHeight="251659264" behindDoc="0" locked="0" layoutInCell="1" allowOverlap="1" wp14:anchorId="1BC428AD" wp14:editId="48CBCFC5">
              <wp:simplePos x="635" y="635"/>
              <wp:positionH relativeFrom="page">
                <wp:align>center</wp:align>
              </wp:positionH>
              <wp:positionV relativeFrom="page">
                <wp:align>top</wp:align>
              </wp:positionV>
              <wp:extent cx="1403985" cy="370205"/>
              <wp:effectExtent l="0" t="0" r="5715" b="10795"/>
              <wp:wrapNone/>
              <wp:docPr id="370715756" name="Text Box 2"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3985" cy="370205"/>
                      </a:xfrm>
                      <a:prstGeom prst="rect">
                        <a:avLst/>
                      </a:prstGeom>
                      <a:noFill/>
                      <a:ln>
                        <a:noFill/>
                      </a:ln>
                    </wps:spPr>
                    <wps:txbx>
                      <w:txbxContent>
                        <w:p w14:paraId="79479FF2" w14:textId="4BCFFF40" w:rsidR="00492039" w:rsidRPr="00492039" w:rsidRDefault="00492039" w:rsidP="00492039">
                          <w:pPr>
                            <w:spacing w:after="0"/>
                            <w:rPr>
                              <w:rFonts w:ascii="Aptos" w:eastAsia="Aptos" w:hAnsi="Aptos" w:cs="Aptos"/>
                              <w:noProof/>
                              <w:color w:val="000000"/>
                              <w:sz w:val="20"/>
                              <w:szCs w:val="20"/>
                            </w:rPr>
                          </w:pPr>
                          <w:r w:rsidRPr="00492039">
                            <w:rPr>
                              <w:rFonts w:ascii="Aptos" w:eastAsia="Aptos" w:hAnsi="Aptos" w:cs="Aptos"/>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C428AD" id="_x0000_t202" coordsize="21600,21600" o:spt="202" path="m,l,21600r21600,l21600,xe">
              <v:stroke joinstyle="miter"/>
              <v:path gradientshapeok="t" o:connecttype="rect"/>
            </v:shapetype>
            <v:shape id="Text Box 2" o:spid="_x0000_s1026" type="#_x0000_t202" alt="REGULATION - SENSITIVE" style="position:absolute;margin-left:0;margin-top:0;width:110.5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" filled="f" stroked="f">
              <v:textbox style="mso-fit-shape-to-text:t" inset="0,15pt,0,0">
                <w:txbxContent>
                  <w:p w14:paraId="79479FF2" w14:textId="4BCFFF40" w:rsidR="00492039" w:rsidRPr="00492039" w:rsidRDefault="00492039" w:rsidP="00492039">
                    <w:pPr>
                      <w:spacing w:after="0"/>
                      <w:rPr>
                        <w:rFonts w:ascii="Aptos" w:eastAsia="Aptos" w:hAnsi="Aptos" w:cs="Aptos"/>
                        <w:noProof/>
                        <w:color w:val="000000"/>
                        <w:sz w:val="20"/>
                        <w:szCs w:val="20"/>
                      </w:rPr>
                    </w:pPr>
                    <w:r w:rsidRPr="00492039">
                      <w:rPr>
                        <w:rFonts w:ascii="Aptos" w:eastAsia="Aptos" w:hAnsi="Aptos" w:cs="Aptos"/>
                        <w:noProof/>
                        <w:color w:val="000000"/>
                        <w:sz w:val="20"/>
                        <w:szCs w:val="20"/>
                      </w:rPr>
                      <w:t>REGULATION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916B" w14:textId="5553A75D" w:rsidR="00492039" w:rsidRDefault="00492039">
    <w:pPr>
      <w:pStyle w:val="Header"/>
    </w:pPr>
    <w:r>
      <w:rPr>
        <w:noProof/>
      </w:rPr>
      <mc:AlternateContent>
        <mc:Choice Requires="wps">
          <w:drawing>
            <wp:anchor distT="0" distB="0" distL="0" distR="0" simplePos="0" relativeHeight="251660288" behindDoc="0" locked="0" layoutInCell="1" allowOverlap="1" wp14:anchorId="05488C01" wp14:editId="0645B6BC">
              <wp:simplePos x="914400" y="447675"/>
              <wp:positionH relativeFrom="page">
                <wp:align>center</wp:align>
              </wp:positionH>
              <wp:positionV relativeFrom="page">
                <wp:align>top</wp:align>
              </wp:positionV>
              <wp:extent cx="1403985" cy="370205"/>
              <wp:effectExtent l="0" t="0" r="5715" b="10795"/>
              <wp:wrapNone/>
              <wp:docPr id="1872339208" name="Text Box 3"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3985" cy="370205"/>
                      </a:xfrm>
                      <a:prstGeom prst="rect">
                        <a:avLst/>
                      </a:prstGeom>
                      <a:noFill/>
                      <a:ln>
                        <a:noFill/>
                      </a:ln>
                    </wps:spPr>
                    <wps:txbx>
                      <w:txbxContent>
                        <w:p w14:paraId="309641FD" w14:textId="0F6E6075" w:rsidR="00492039" w:rsidRPr="00492039" w:rsidRDefault="00492039" w:rsidP="00492039">
                          <w:pPr>
                            <w:spacing w:after="0"/>
                            <w:rPr>
                              <w:rFonts w:ascii="Aptos" w:eastAsia="Aptos" w:hAnsi="Aptos" w:cs="Aptos"/>
                              <w:noProof/>
                              <w:color w:val="000000"/>
                              <w:sz w:val="20"/>
                              <w:szCs w:val="20"/>
                            </w:rPr>
                          </w:pPr>
                          <w:r w:rsidRPr="00492039">
                            <w:rPr>
                              <w:rFonts w:ascii="Aptos" w:eastAsia="Aptos" w:hAnsi="Aptos" w:cs="Aptos"/>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488C01" id="_x0000_t202" coordsize="21600,21600" o:spt="202" path="m,l,21600r21600,l21600,xe">
              <v:stroke joinstyle="miter"/>
              <v:path gradientshapeok="t" o:connecttype="rect"/>
            </v:shapetype>
            <v:shape id="Text Box 3" o:spid="_x0000_s1027" type="#_x0000_t202" alt="REGULATION - SENSITIVE" style="position:absolute;margin-left:0;margin-top:0;width:110.55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" filled="f" stroked="f">
              <v:textbox style="mso-fit-shape-to-text:t" inset="0,15pt,0,0">
                <w:txbxContent>
                  <w:p w14:paraId="309641FD" w14:textId="0F6E6075" w:rsidR="00492039" w:rsidRPr="00492039" w:rsidRDefault="00492039" w:rsidP="00492039">
                    <w:pPr>
                      <w:spacing w:after="0"/>
                      <w:rPr>
                        <w:rFonts w:ascii="Aptos" w:eastAsia="Aptos" w:hAnsi="Aptos" w:cs="Aptos"/>
                        <w:noProof/>
                        <w:color w:val="000000"/>
                        <w:sz w:val="20"/>
                        <w:szCs w:val="20"/>
                      </w:rPr>
                    </w:pPr>
                    <w:r w:rsidRPr="00492039">
                      <w:rPr>
                        <w:rFonts w:ascii="Aptos" w:eastAsia="Aptos" w:hAnsi="Aptos" w:cs="Aptos"/>
                        <w:noProof/>
                        <w:color w:val="000000"/>
                        <w:sz w:val="20"/>
                        <w:szCs w:val="20"/>
                      </w:rPr>
                      <w:t>REGULATION -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3205" w14:textId="0D6EFDBC" w:rsidR="00492039" w:rsidRDefault="00492039">
    <w:pPr>
      <w:pStyle w:val="Header"/>
    </w:pPr>
    <w:r>
      <w:rPr>
        <w:noProof/>
      </w:rPr>
      <mc:AlternateContent>
        <mc:Choice Requires="wps">
          <w:drawing>
            <wp:anchor distT="0" distB="0" distL="0" distR="0" simplePos="0" relativeHeight="251658240" behindDoc="0" locked="0" layoutInCell="1" allowOverlap="1" wp14:anchorId="7608C4CC" wp14:editId="571D0E85">
              <wp:simplePos x="635" y="635"/>
              <wp:positionH relativeFrom="page">
                <wp:align>center</wp:align>
              </wp:positionH>
              <wp:positionV relativeFrom="page">
                <wp:align>top</wp:align>
              </wp:positionV>
              <wp:extent cx="1403985" cy="370205"/>
              <wp:effectExtent l="0" t="0" r="5715" b="10795"/>
              <wp:wrapNone/>
              <wp:docPr id="1646570948" name="Text Box 1"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3985" cy="370205"/>
                      </a:xfrm>
                      <a:prstGeom prst="rect">
                        <a:avLst/>
                      </a:prstGeom>
                      <a:noFill/>
                      <a:ln>
                        <a:noFill/>
                      </a:ln>
                    </wps:spPr>
                    <wps:txbx>
                      <w:txbxContent>
                        <w:p w14:paraId="159C1C98" w14:textId="2101B5AF" w:rsidR="00492039" w:rsidRPr="00492039" w:rsidRDefault="00492039" w:rsidP="00492039">
                          <w:pPr>
                            <w:spacing w:after="0"/>
                            <w:rPr>
                              <w:rFonts w:ascii="Aptos" w:eastAsia="Aptos" w:hAnsi="Aptos" w:cs="Aptos"/>
                              <w:noProof/>
                              <w:color w:val="000000"/>
                              <w:sz w:val="20"/>
                              <w:szCs w:val="20"/>
                            </w:rPr>
                          </w:pPr>
                          <w:r w:rsidRPr="00492039">
                            <w:rPr>
                              <w:rFonts w:ascii="Aptos" w:eastAsia="Aptos" w:hAnsi="Aptos" w:cs="Aptos"/>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08C4CC" id="_x0000_t202" coordsize="21600,21600" o:spt="202" path="m,l,21600r21600,l21600,xe">
              <v:stroke joinstyle="miter"/>
              <v:path gradientshapeok="t" o:connecttype="rect"/>
            </v:shapetype>
            <v:shape id="Text Box 1" o:spid="_x0000_s1028" type="#_x0000_t202" alt="REGULATION - SENSITIVE" style="position:absolute;margin-left:0;margin-top:0;width:110.5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" filled="f" stroked="f">
              <v:textbox style="mso-fit-shape-to-text:t" inset="0,15pt,0,0">
                <w:txbxContent>
                  <w:p w14:paraId="159C1C98" w14:textId="2101B5AF" w:rsidR="00492039" w:rsidRPr="00492039" w:rsidRDefault="00492039" w:rsidP="00492039">
                    <w:pPr>
                      <w:spacing w:after="0"/>
                      <w:rPr>
                        <w:rFonts w:ascii="Aptos" w:eastAsia="Aptos" w:hAnsi="Aptos" w:cs="Aptos"/>
                        <w:noProof/>
                        <w:color w:val="000000"/>
                        <w:sz w:val="20"/>
                        <w:szCs w:val="20"/>
                      </w:rPr>
                    </w:pPr>
                    <w:r w:rsidRPr="00492039">
                      <w:rPr>
                        <w:rFonts w:ascii="Aptos" w:eastAsia="Aptos" w:hAnsi="Aptos" w:cs="Aptos"/>
                        <w:noProof/>
                        <w:color w:val="000000"/>
                        <w:sz w:val="20"/>
                        <w:szCs w:val="20"/>
                      </w:rPr>
                      <w:t>REGULATION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03254"/>
    <w:multiLevelType w:val="multilevel"/>
    <w:tmpl w:val="E288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0682B"/>
    <w:multiLevelType w:val="hybridMultilevel"/>
    <w:tmpl w:val="8AA8D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FD7F33"/>
    <w:multiLevelType w:val="hybridMultilevel"/>
    <w:tmpl w:val="418E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B00A79"/>
    <w:multiLevelType w:val="hybridMultilevel"/>
    <w:tmpl w:val="B978D5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26093220">
    <w:abstractNumId w:val="1"/>
  </w:num>
  <w:num w:numId="2" w16cid:durableId="1301762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5873683">
    <w:abstractNumId w:val="2"/>
  </w:num>
  <w:num w:numId="4" w16cid:durableId="193647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39"/>
    <w:rsid w:val="000010C3"/>
    <w:rsid w:val="00001496"/>
    <w:rsid w:val="00026442"/>
    <w:rsid w:val="00035A42"/>
    <w:rsid w:val="0005630C"/>
    <w:rsid w:val="00065516"/>
    <w:rsid w:val="00065B29"/>
    <w:rsid w:val="00076B6D"/>
    <w:rsid w:val="000854C5"/>
    <w:rsid w:val="00086E86"/>
    <w:rsid w:val="00096A0E"/>
    <w:rsid w:val="000B5F8D"/>
    <w:rsid w:val="000E24BB"/>
    <w:rsid w:val="001205C3"/>
    <w:rsid w:val="00131690"/>
    <w:rsid w:val="00145CFF"/>
    <w:rsid w:val="00150DF5"/>
    <w:rsid w:val="001751B5"/>
    <w:rsid w:val="0018615E"/>
    <w:rsid w:val="00193480"/>
    <w:rsid w:val="0019644D"/>
    <w:rsid w:val="001A3FE1"/>
    <w:rsid w:val="001B571E"/>
    <w:rsid w:val="001C186A"/>
    <w:rsid w:val="001C683D"/>
    <w:rsid w:val="001E1F59"/>
    <w:rsid w:val="001E782F"/>
    <w:rsid w:val="001F23A8"/>
    <w:rsid w:val="00244769"/>
    <w:rsid w:val="00250000"/>
    <w:rsid w:val="002537B8"/>
    <w:rsid w:val="0025453B"/>
    <w:rsid w:val="00254800"/>
    <w:rsid w:val="00254965"/>
    <w:rsid w:val="0027029C"/>
    <w:rsid w:val="00276AEE"/>
    <w:rsid w:val="0028596C"/>
    <w:rsid w:val="002A1B75"/>
    <w:rsid w:val="002C19D3"/>
    <w:rsid w:val="002C706B"/>
    <w:rsid w:val="002C7205"/>
    <w:rsid w:val="002D360A"/>
    <w:rsid w:val="002D754A"/>
    <w:rsid w:val="002E1465"/>
    <w:rsid w:val="002F68D9"/>
    <w:rsid w:val="00300009"/>
    <w:rsid w:val="003046C0"/>
    <w:rsid w:val="00307390"/>
    <w:rsid w:val="0031623E"/>
    <w:rsid w:val="003260FC"/>
    <w:rsid w:val="00326372"/>
    <w:rsid w:val="00336782"/>
    <w:rsid w:val="00370D83"/>
    <w:rsid w:val="00385EC8"/>
    <w:rsid w:val="003907F7"/>
    <w:rsid w:val="00393338"/>
    <w:rsid w:val="003955FC"/>
    <w:rsid w:val="003B73C0"/>
    <w:rsid w:val="003D6C2F"/>
    <w:rsid w:val="004166D7"/>
    <w:rsid w:val="00425ECA"/>
    <w:rsid w:val="0042725F"/>
    <w:rsid w:val="00443385"/>
    <w:rsid w:val="00457E6D"/>
    <w:rsid w:val="00467A24"/>
    <w:rsid w:val="00484652"/>
    <w:rsid w:val="004874E7"/>
    <w:rsid w:val="00492039"/>
    <w:rsid w:val="004973DD"/>
    <w:rsid w:val="004B50C4"/>
    <w:rsid w:val="004C2CCD"/>
    <w:rsid w:val="004D312D"/>
    <w:rsid w:val="00502930"/>
    <w:rsid w:val="00512709"/>
    <w:rsid w:val="00517AC7"/>
    <w:rsid w:val="00525E88"/>
    <w:rsid w:val="005400F9"/>
    <w:rsid w:val="0055098D"/>
    <w:rsid w:val="00552831"/>
    <w:rsid w:val="0055580E"/>
    <w:rsid w:val="005655F6"/>
    <w:rsid w:val="005672A9"/>
    <w:rsid w:val="0058030F"/>
    <w:rsid w:val="005877D4"/>
    <w:rsid w:val="005A3E05"/>
    <w:rsid w:val="005A47A2"/>
    <w:rsid w:val="005F3F2F"/>
    <w:rsid w:val="00605BE5"/>
    <w:rsid w:val="006107C2"/>
    <w:rsid w:val="00612271"/>
    <w:rsid w:val="00631C18"/>
    <w:rsid w:val="0063248C"/>
    <w:rsid w:val="006550F3"/>
    <w:rsid w:val="0066017F"/>
    <w:rsid w:val="006627D6"/>
    <w:rsid w:val="006B15DA"/>
    <w:rsid w:val="006D1685"/>
    <w:rsid w:val="006D330B"/>
    <w:rsid w:val="006D4AAE"/>
    <w:rsid w:val="006E0F69"/>
    <w:rsid w:val="006E74F6"/>
    <w:rsid w:val="007020AE"/>
    <w:rsid w:val="007044DA"/>
    <w:rsid w:val="00723DF8"/>
    <w:rsid w:val="00724344"/>
    <w:rsid w:val="007575A9"/>
    <w:rsid w:val="00765285"/>
    <w:rsid w:val="00766965"/>
    <w:rsid w:val="00781402"/>
    <w:rsid w:val="00784795"/>
    <w:rsid w:val="00786CAC"/>
    <w:rsid w:val="0079315E"/>
    <w:rsid w:val="007A2D9E"/>
    <w:rsid w:val="007A31A4"/>
    <w:rsid w:val="007C3395"/>
    <w:rsid w:val="007C7CF6"/>
    <w:rsid w:val="007E02D5"/>
    <w:rsid w:val="007F2AC0"/>
    <w:rsid w:val="00800851"/>
    <w:rsid w:val="00810258"/>
    <w:rsid w:val="00811064"/>
    <w:rsid w:val="008176CE"/>
    <w:rsid w:val="00830491"/>
    <w:rsid w:val="00833B3D"/>
    <w:rsid w:val="00840D2F"/>
    <w:rsid w:val="008570DD"/>
    <w:rsid w:val="008630EB"/>
    <w:rsid w:val="0089194B"/>
    <w:rsid w:val="008C2674"/>
    <w:rsid w:val="008E35A3"/>
    <w:rsid w:val="008F4462"/>
    <w:rsid w:val="00962C25"/>
    <w:rsid w:val="0097190F"/>
    <w:rsid w:val="00983A5C"/>
    <w:rsid w:val="009948F5"/>
    <w:rsid w:val="00997075"/>
    <w:rsid w:val="009B34A0"/>
    <w:rsid w:val="009B3BE2"/>
    <w:rsid w:val="009C2619"/>
    <w:rsid w:val="009C5FF9"/>
    <w:rsid w:val="009D1273"/>
    <w:rsid w:val="00A0525E"/>
    <w:rsid w:val="00A06222"/>
    <w:rsid w:val="00A07DB8"/>
    <w:rsid w:val="00A15708"/>
    <w:rsid w:val="00A479A8"/>
    <w:rsid w:val="00A72736"/>
    <w:rsid w:val="00A86DF4"/>
    <w:rsid w:val="00A96537"/>
    <w:rsid w:val="00AB0E25"/>
    <w:rsid w:val="00AC1A9E"/>
    <w:rsid w:val="00AE364A"/>
    <w:rsid w:val="00AE3D41"/>
    <w:rsid w:val="00AF13A1"/>
    <w:rsid w:val="00AF24BC"/>
    <w:rsid w:val="00B40136"/>
    <w:rsid w:val="00B54415"/>
    <w:rsid w:val="00B579E6"/>
    <w:rsid w:val="00B61CDC"/>
    <w:rsid w:val="00B759C2"/>
    <w:rsid w:val="00B87CA3"/>
    <w:rsid w:val="00B87D83"/>
    <w:rsid w:val="00BB02AC"/>
    <w:rsid w:val="00BB238E"/>
    <w:rsid w:val="00BC6249"/>
    <w:rsid w:val="00BD043C"/>
    <w:rsid w:val="00BD1B43"/>
    <w:rsid w:val="00BD423B"/>
    <w:rsid w:val="00BD5F81"/>
    <w:rsid w:val="00BD6857"/>
    <w:rsid w:val="00BF7AB7"/>
    <w:rsid w:val="00C1378E"/>
    <w:rsid w:val="00C1428A"/>
    <w:rsid w:val="00C17A03"/>
    <w:rsid w:val="00C27202"/>
    <w:rsid w:val="00C35B91"/>
    <w:rsid w:val="00C50E3D"/>
    <w:rsid w:val="00C510AE"/>
    <w:rsid w:val="00C53AEC"/>
    <w:rsid w:val="00C55B60"/>
    <w:rsid w:val="00C66733"/>
    <w:rsid w:val="00CA7949"/>
    <w:rsid w:val="00CB2545"/>
    <w:rsid w:val="00CB3680"/>
    <w:rsid w:val="00CB4953"/>
    <w:rsid w:val="00CC3E6F"/>
    <w:rsid w:val="00CD3979"/>
    <w:rsid w:val="00D05518"/>
    <w:rsid w:val="00D0664B"/>
    <w:rsid w:val="00D23B29"/>
    <w:rsid w:val="00D27F77"/>
    <w:rsid w:val="00D31DC7"/>
    <w:rsid w:val="00D36B25"/>
    <w:rsid w:val="00D36BC2"/>
    <w:rsid w:val="00D62093"/>
    <w:rsid w:val="00D715AC"/>
    <w:rsid w:val="00D8718C"/>
    <w:rsid w:val="00D9563A"/>
    <w:rsid w:val="00DA66E5"/>
    <w:rsid w:val="00DA71CB"/>
    <w:rsid w:val="00DC190B"/>
    <w:rsid w:val="00DC7A2F"/>
    <w:rsid w:val="00DD71CF"/>
    <w:rsid w:val="00DE524B"/>
    <w:rsid w:val="00E35865"/>
    <w:rsid w:val="00E42B3C"/>
    <w:rsid w:val="00E44AF6"/>
    <w:rsid w:val="00E72A38"/>
    <w:rsid w:val="00E820F5"/>
    <w:rsid w:val="00EA194D"/>
    <w:rsid w:val="00EA5AA1"/>
    <w:rsid w:val="00EB3335"/>
    <w:rsid w:val="00EB7372"/>
    <w:rsid w:val="00EC3EA4"/>
    <w:rsid w:val="00EC4667"/>
    <w:rsid w:val="00EE0891"/>
    <w:rsid w:val="00EF7DB9"/>
    <w:rsid w:val="00F25B16"/>
    <w:rsid w:val="00F4749D"/>
    <w:rsid w:val="00F756A3"/>
    <w:rsid w:val="00F76202"/>
    <w:rsid w:val="00F84D66"/>
    <w:rsid w:val="00F86713"/>
    <w:rsid w:val="00FC0C76"/>
    <w:rsid w:val="00FC4AB2"/>
    <w:rsid w:val="00FE3E0F"/>
    <w:rsid w:val="00FE4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182"/>
  <w15:chartTrackingRefBased/>
  <w15:docId w15:val="{0C781D7D-B19A-4D02-8E00-714FA19B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0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0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0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0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0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0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039"/>
    <w:rPr>
      <w:rFonts w:eastAsiaTheme="majorEastAsia" w:cstheme="majorBidi"/>
      <w:color w:val="272727" w:themeColor="text1" w:themeTint="D8"/>
    </w:rPr>
  </w:style>
  <w:style w:type="paragraph" w:styleId="Title">
    <w:name w:val="Title"/>
    <w:basedOn w:val="Normal"/>
    <w:next w:val="Normal"/>
    <w:link w:val="TitleChar"/>
    <w:uiPriority w:val="10"/>
    <w:qFormat/>
    <w:rsid w:val="00492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039"/>
    <w:pPr>
      <w:spacing w:before="160"/>
      <w:jc w:val="center"/>
    </w:pPr>
    <w:rPr>
      <w:i/>
      <w:iCs/>
      <w:color w:val="404040" w:themeColor="text1" w:themeTint="BF"/>
    </w:rPr>
  </w:style>
  <w:style w:type="character" w:customStyle="1" w:styleId="QuoteChar">
    <w:name w:val="Quote Char"/>
    <w:basedOn w:val="DefaultParagraphFont"/>
    <w:link w:val="Quote"/>
    <w:uiPriority w:val="29"/>
    <w:rsid w:val="00492039"/>
    <w:rPr>
      <w:i/>
      <w:iCs/>
      <w:color w:val="404040" w:themeColor="text1" w:themeTint="BF"/>
    </w:rPr>
  </w:style>
  <w:style w:type="paragraph" w:styleId="ListParagraph">
    <w:name w:val="List Paragraph"/>
    <w:basedOn w:val="Normal"/>
    <w:uiPriority w:val="34"/>
    <w:qFormat/>
    <w:rsid w:val="00492039"/>
    <w:pPr>
      <w:ind w:left="720"/>
      <w:contextualSpacing/>
    </w:pPr>
  </w:style>
  <w:style w:type="character" w:styleId="IntenseEmphasis">
    <w:name w:val="Intense Emphasis"/>
    <w:basedOn w:val="DefaultParagraphFont"/>
    <w:uiPriority w:val="21"/>
    <w:qFormat/>
    <w:rsid w:val="00492039"/>
    <w:rPr>
      <w:i/>
      <w:iCs/>
      <w:color w:val="0F4761" w:themeColor="accent1" w:themeShade="BF"/>
    </w:rPr>
  </w:style>
  <w:style w:type="paragraph" w:styleId="IntenseQuote">
    <w:name w:val="Intense Quote"/>
    <w:basedOn w:val="Normal"/>
    <w:next w:val="Normal"/>
    <w:link w:val="IntenseQuoteChar"/>
    <w:uiPriority w:val="30"/>
    <w:qFormat/>
    <w:rsid w:val="00492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039"/>
    <w:rPr>
      <w:i/>
      <w:iCs/>
      <w:color w:val="0F4761" w:themeColor="accent1" w:themeShade="BF"/>
    </w:rPr>
  </w:style>
  <w:style w:type="character" w:styleId="IntenseReference">
    <w:name w:val="Intense Reference"/>
    <w:basedOn w:val="DefaultParagraphFont"/>
    <w:uiPriority w:val="32"/>
    <w:qFormat/>
    <w:rsid w:val="00492039"/>
    <w:rPr>
      <w:b/>
      <w:bCs/>
      <w:smallCaps/>
      <w:color w:val="0F4761" w:themeColor="accent1" w:themeShade="BF"/>
      <w:spacing w:val="5"/>
    </w:rPr>
  </w:style>
  <w:style w:type="paragraph" w:styleId="Header">
    <w:name w:val="header"/>
    <w:basedOn w:val="Normal"/>
    <w:link w:val="HeaderChar"/>
    <w:uiPriority w:val="99"/>
    <w:unhideWhenUsed/>
    <w:rsid w:val="00492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039"/>
  </w:style>
  <w:style w:type="table" w:styleId="TableGrid">
    <w:name w:val="Table Grid"/>
    <w:basedOn w:val="TableNormal"/>
    <w:uiPriority w:val="39"/>
    <w:rsid w:val="0070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0E3D"/>
    <w:rPr>
      <w:sz w:val="16"/>
      <w:szCs w:val="16"/>
    </w:rPr>
  </w:style>
  <w:style w:type="paragraph" w:styleId="CommentText">
    <w:name w:val="annotation text"/>
    <w:basedOn w:val="Normal"/>
    <w:link w:val="CommentTextChar"/>
    <w:uiPriority w:val="99"/>
    <w:unhideWhenUsed/>
    <w:rsid w:val="00C50E3D"/>
    <w:pPr>
      <w:spacing w:line="240" w:lineRule="auto"/>
    </w:pPr>
    <w:rPr>
      <w:sz w:val="20"/>
      <w:szCs w:val="20"/>
    </w:rPr>
  </w:style>
  <w:style w:type="character" w:customStyle="1" w:styleId="CommentTextChar">
    <w:name w:val="Comment Text Char"/>
    <w:basedOn w:val="DefaultParagraphFont"/>
    <w:link w:val="CommentText"/>
    <w:uiPriority w:val="99"/>
    <w:rsid w:val="00C50E3D"/>
    <w:rPr>
      <w:sz w:val="20"/>
      <w:szCs w:val="20"/>
    </w:rPr>
  </w:style>
  <w:style w:type="character" w:styleId="Hyperlink">
    <w:name w:val="Hyperlink"/>
    <w:basedOn w:val="DefaultParagraphFont"/>
    <w:uiPriority w:val="99"/>
    <w:unhideWhenUsed/>
    <w:rsid w:val="00AB0E25"/>
    <w:rPr>
      <w:color w:val="467886" w:themeColor="hyperlink"/>
      <w:u w:val="single"/>
    </w:rPr>
  </w:style>
  <w:style w:type="character" w:styleId="UnresolvedMention">
    <w:name w:val="Unresolved Mention"/>
    <w:basedOn w:val="DefaultParagraphFont"/>
    <w:uiPriority w:val="99"/>
    <w:semiHidden/>
    <w:unhideWhenUsed/>
    <w:rsid w:val="00AB0E2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C2CCD"/>
    <w:rPr>
      <w:b/>
      <w:bCs/>
    </w:rPr>
  </w:style>
  <w:style w:type="character" w:customStyle="1" w:styleId="CommentSubjectChar">
    <w:name w:val="Comment Subject Char"/>
    <w:basedOn w:val="CommentTextChar"/>
    <w:link w:val="CommentSubject"/>
    <w:uiPriority w:val="99"/>
    <w:semiHidden/>
    <w:rsid w:val="004C2CCD"/>
    <w:rPr>
      <w:b/>
      <w:bCs/>
      <w:sz w:val="20"/>
      <w:szCs w:val="20"/>
    </w:rPr>
  </w:style>
  <w:style w:type="paragraph" w:styleId="Revision">
    <w:name w:val="Revision"/>
    <w:hidden/>
    <w:uiPriority w:val="99"/>
    <w:semiHidden/>
    <w:rsid w:val="004C2CCD"/>
    <w:pPr>
      <w:spacing w:after="0" w:line="240" w:lineRule="auto"/>
    </w:pPr>
  </w:style>
  <w:style w:type="character" w:styleId="FollowedHyperlink">
    <w:name w:val="FollowedHyperlink"/>
    <w:basedOn w:val="DefaultParagraphFont"/>
    <w:uiPriority w:val="99"/>
    <w:semiHidden/>
    <w:unhideWhenUsed/>
    <w:rsid w:val="002C19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scot.org.uk/media/vbyn3jku/lsag-aml-guidance-23-april-202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si/2017/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7/69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b97a41-5266-4b8e-a549-e9a1209bca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6B44112EB6A846A87AA817FB9DD132" ma:contentTypeVersion="15" ma:contentTypeDescription="Create a new document." ma:contentTypeScope="" ma:versionID="35527ca6f68a91dd76ef80e4d4583cda">
  <xsd:schema xmlns:xsd="http://www.w3.org/2001/XMLSchema" xmlns:xs="http://www.w3.org/2001/XMLSchema" xmlns:p="http://schemas.microsoft.com/office/2006/metadata/properties" xmlns:ns2="c4b97a41-5266-4b8e-a549-e9a1209bca76" xmlns:ns3="720fbf4e-17a5-474f-b2fe-121016064cd3" targetNamespace="http://schemas.microsoft.com/office/2006/metadata/properties" ma:root="true" ma:fieldsID="1fb9297f03f5a3cf0626194629bbdf25" ns2:_="" ns3:_="">
    <xsd:import namespace="c4b97a41-5266-4b8e-a549-e9a1209bca76"/>
    <xsd:import namespace="720fbf4e-17a5-474f-b2fe-121016064c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7a41-5266-4b8e-a549-e9a1209bc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7652fb-be11-4487-930f-ee8173464f0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fbf4e-17a5-474f-b2fe-121016064c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A0C6A-2E4E-46F8-AF95-4FB7B431B993}">
  <ds:schemaRefs>
    <ds:schemaRef ds:uri="http://schemas.openxmlformats.org/officeDocument/2006/bibliography"/>
  </ds:schemaRefs>
</ds:datastoreItem>
</file>

<file path=customXml/itemProps2.xml><?xml version="1.0" encoding="utf-8"?>
<ds:datastoreItem xmlns:ds="http://schemas.openxmlformats.org/officeDocument/2006/customXml" ds:itemID="{999374FC-54B4-42C6-9321-045C1BE680C0}">
  <ds:schemaRefs>
    <ds:schemaRef ds:uri="http://schemas.microsoft.com/office/2006/metadata/properties"/>
    <ds:schemaRef ds:uri="http://schemas.microsoft.com/office/infopath/2007/PartnerControls"/>
    <ds:schemaRef ds:uri="c4b97a41-5266-4b8e-a549-e9a1209bca76"/>
  </ds:schemaRefs>
</ds:datastoreItem>
</file>

<file path=customXml/itemProps3.xml><?xml version="1.0" encoding="utf-8"?>
<ds:datastoreItem xmlns:ds="http://schemas.openxmlformats.org/officeDocument/2006/customXml" ds:itemID="{A618AFC0-8FF5-4E74-8E01-D37702691130}">
  <ds:schemaRefs>
    <ds:schemaRef ds:uri="http://schemas.microsoft.com/sharepoint/v3/contenttype/forms"/>
  </ds:schemaRefs>
</ds:datastoreItem>
</file>

<file path=customXml/itemProps4.xml><?xml version="1.0" encoding="utf-8"?>
<ds:datastoreItem xmlns:ds="http://schemas.openxmlformats.org/officeDocument/2006/customXml" ds:itemID="{C5199DB0-8F28-44C0-9232-7466539A4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97a41-5266-4b8e-a549-e9a1209bca76"/>
    <ds:schemaRef ds:uri="720fbf4e-17a5-474f-b2fe-121016064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2503</Words>
  <Characters>13444</Characters>
  <Application>Microsoft Office Word</Application>
  <DocSecurity>4</DocSecurity>
  <Lines>707</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Turnbull</dc:creator>
  <cp:keywords/>
  <dc:description/>
  <cp:lastModifiedBy>Kay McLellan</cp:lastModifiedBy>
  <cp:revision>2</cp:revision>
  <cp:lastPrinted>2026-02-05T10:40:00Z</cp:lastPrinted>
  <dcterms:created xsi:type="dcterms:W3CDTF">2026-03-27T16:06:00Z</dcterms:created>
  <dcterms:modified xsi:type="dcterms:W3CDTF">2026-03-27T16:06:00Z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6224adc4,1618ac6c,6f99a108</vt:lpwstr>
  </property>
  <property fmtid="{D5CDD505-2E9C-101B-9397-08002B2CF9AE}" pid="3" name="ClassificationContentMarkingHeaderFontProps">
    <vt:lpwstr>#000000,10,Aptos</vt:lpwstr>
  </property>
  <property fmtid="{D5CDD505-2E9C-101B-9397-08002B2CF9AE}" pid="4" name="ClassificationContentMarkingHeaderText">
    <vt:lpwstr>REGULATION - SENSITIVE</vt:lpwstr>
  </property>
  <property fmtid="{D5CDD505-2E9C-101B-9397-08002B2CF9AE}" pid="5" name="MSIP_Label_061b4899-68cb-4669-9be8-5e7f10147940_Enabled">
    <vt:lpwstr>true</vt:lpwstr>
  </property>
  <property fmtid="{D5CDD505-2E9C-101B-9397-08002B2CF9AE}" pid="6" name="MSIP_Label_061b4899-68cb-4669-9be8-5e7f10147940_SetDate">
    <vt:lpwstr>2026-01-19T13:45:23Z</vt:lpwstr>
  </property>
  <property fmtid="{D5CDD505-2E9C-101B-9397-08002B2CF9AE}" pid="7" name="MSIP_Label_061b4899-68cb-4669-9be8-5e7f10147940_Method">
    <vt:lpwstr>Standard</vt:lpwstr>
  </property>
  <property fmtid="{D5CDD505-2E9C-101B-9397-08002B2CF9AE}" pid="8" name="MSIP_Label_061b4899-68cb-4669-9be8-5e7f10147940_Name">
    <vt:lpwstr>Regulation – Sensitive</vt:lpwstr>
  </property>
  <property fmtid="{D5CDD505-2E9C-101B-9397-08002B2CF9AE}" pid="9" name="MSIP_Label_061b4899-68cb-4669-9be8-5e7f10147940_SiteId">
    <vt:lpwstr>7ef8e0ea-4b47-426a-9398-1c0c216695b7</vt:lpwstr>
  </property>
  <property fmtid="{D5CDD505-2E9C-101B-9397-08002B2CF9AE}" pid="10" name="MSIP_Label_061b4899-68cb-4669-9be8-5e7f10147940_ActionId">
    <vt:lpwstr>2be7fc5d-ed9d-4b59-a9ce-ce65e6375535</vt:lpwstr>
  </property>
  <property fmtid="{D5CDD505-2E9C-101B-9397-08002B2CF9AE}" pid="11" name="MSIP_Label_061b4899-68cb-4669-9be8-5e7f10147940_ContentBits">
    <vt:lpwstr>1</vt:lpwstr>
  </property>
  <property fmtid="{D5CDD505-2E9C-101B-9397-08002B2CF9AE}" pid="12" name="MSIP_Label_061b4899-68cb-4669-9be8-5e7f10147940_Tag">
    <vt:lpwstr>10, 3, 0, 1</vt:lpwstr>
  </property>
  <property fmtid="{D5CDD505-2E9C-101B-9397-08002B2CF9AE}" pid="13" name="ContentTypeId">
    <vt:lpwstr>0x0101006D6B44112EB6A846A87AA817FB9DD132</vt:lpwstr>
  </property>
  <property fmtid="{D5CDD505-2E9C-101B-9397-08002B2CF9AE}" pid="14" name="MediaServiceImageTags">
    <vt:lpwstr/>
  </property>
  <property fmtid="{D5CDD505-2E9C-101B-9397-08002B2CF9AE}" pid="15" name="j51334b8464a403e8708c44b550590d2">
    <vt:lpwstr/>
  </property>
  <property fmtid="{D5CDD505-2E9C-101B-9397-08002B2CF9AE}" pid="16" name="Committee">
    <vt:lpwstr/>
  </property>
  <property fmtid="{D5CDD505-2E9C-101B-9397-08002B2CF9AE}" pid="17" name="m73f487bf6df40bd884c3d6035f2f3bf">
    <vt:lpwstr/>
  </property>
  <property fmtid="{D5CDD505-2E9C-101B-9397-08002B2CF9AE}" pid="18" name="Directorate">
    <vt:lpwstr/>
  </property>
  <property fmtid="{D5CDD505-2E9C-101B-9397-08002B2CF9AE}" pid="19" name="TaxCatchAll">
    <vt:lpwstr/>
  </property>
</Properties>
</file>