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A8570" w14:textId="35204168" w:rsidR="004C1B39" w:rsidRPr="00012467" w:rsidRDefault="00AD60DD" w:rsidP="007D0BEC">
      <w:pPr>
        <w:pStyle w:val="NoSpacing"/>
        <w:rPr>
          <w:rFonts w:ascii="Inter" w:hAnsi="Inter" w:cstheme="minorHAnsi"/>
          <w:sz w:val="28"/>
          <w:szCs w:val="28"/>
        </w:rPr>
      </w:pPr>
      <w:r w:rsidRPr="00012467">
        <w:rPr>
          <w:rFonts w:ascii="Inter" w:hAnsi="Inter" w:cstheme="minorHAnsi"/>
          <w:color w:val="FF0000"/>
          <w:sz w:val="28"/>
          <w:szCs w:val="28"/>
        </w:rPr>
        <w:t>[</w:t>
      </w:r>
      <w:r w:rsidR="00D068DD" w:rsidRPr="00012467">
        <w:rPr>
          <w:rFonts w:ascii="Inter" w:hAnsi="Inter" w:cstheme="minorHAnsi"/>
          <w:color w:val="FF0000"/>
          <w:sz w:val="28"/>
          <w:szCs w:val="28"/>
        </w:rPr>
        <w:t>PRACTICE</w:t>
      </w:r>
      <w:r w:rsidRPr="00012467">
        <w:rPr>
          <w:rFonts w:ascii="Inter" w:hAnsi="Inter" w:cstheme="minorHAnsi"/>
          <w:color w:val="FF0000"/>
          <w:sz w:val="28"/>
          <w:szCs w:val="28"/>
        </w:rPr>
        <w:t xml:space="preserve"> NAME] </w:t>
      </w:r>
      <w:r w:rsidR="004C1B39" w:rsidRPr="00012467">
        <w:rPr>
          <w:rFonts w:ascii="Inter" w:hAnsi="Inter" w:cstheme="minorHAnsi"/>
          <w:sz w:val="28"/>
          <w:szCs w:val="28"/>
        </w:rPr>
        <w:t>Anti-Money Laundering Policies and Procedures</w:t>
      </w:r>
      <w:r w:rsidR="00C22788" w:rsidRPr="00012467">
        <w:rPr>
          <w:rFonts w:ascii="Inter" w:hAnsi="Inter" w:cstheme="minorHAnsi"/>
          <w:sz w:val="28"/>
          <w:szCs w:val="28"/>
        </w:rPr>
        <w:t xml:space="preserve"> (PCPs)</w:t>
      </w:r>
    </w:p>
    <w:p w14:paraId="0EFDE179" w14:textId="77777777" w:rsidR="004C1B39" w:rsidRPr="00012467" w:rsidRDefault="004C1B39" w:rsidP="007D0BEC">
      <w:pPr>
        <w:pStyle w:val="NoSpacing"/>
        <w:rPr>
          <w:rFonts w:ascii="Inter" w:hAnsi="Inter" w:cstheme="minorHAnsi"/>
          <w:sz w:val="28"/>
          <w:szCs w:val="28"/>
        </w:rPr>
      </w:pPr>
    </w:p>
    <w:p w14:paraId="1C72BD39" w14:textId="50CC68F0" w:rsidR="004C1B39" w:rsidRPr="00012467" w:rsidRDefault="004C1B39" w:rsidP="007D0BEC">
      <w:pPr>
        <w:pStyle w:val="NoSpacing"/>
        <w:rPr>
          <w:rFonts w:ascii="Inter" w:hAnsi="Inter" w:cstheme="minorHAnsi"/>
          <w:sz w:val="28"/>
          <w:szCs w:val="28"/>
        </w:rPr>
      </w:pPr>
      <w:r w:rsidRPr="00012467">
        <w:rPr>
          <w:rFonts w:ascii="Inter" w:hAnsi="Inter" w:cstheme="minorHAnsi"/>
          <w:sz w:val="28"/>
          <w:szCs w:val="28"/>
        </w:rPr>
        <w:t>Date:</w:t>
      </w:r>
    </w:p>
    <w:p w14:paraId="4CE2A756" w14:textId="0DA63C22" w:rsidR="00881CCA" w:rsidRPr="00012467" w:rsidRDefault="00881CCA" w:rsidP="00F65226">
      <w:pPr>
        <w:pStyle w:val="NoSpacing"/>
        <w:rPr>
          <w:rFonts w:ascii="Inter" w:hAnsi="Inter" w:cstheme="minorHAnsi"/>
          <w:sz w:val="28"/>
          <w:szCs w:val="28"/>
        </w:rPr>
      </w:pPr>
      <w:r w:rsidRPr="00012467">
        <w:rPr>
          <w:rFonts w:ascii="Inter" w:hAnsi="Inter" w:cstheme="minorHAnsi"/>
          <w:sz w:val="28"/>
          <w:szCs w:val="28"/>
        </w:rPr>
        <w:t>Last Updated:</w:t>
      </w:r>
    </w:p>
    <w:p w14:paraId="78D1F45E" w14:textId="7AA17263" w:rsidR="004C1B39" w:rsidRPr="00012467" w:rsidRDefault="004C1B39" w:rsidP="007D0BEC">
      <w:pPr>
        <w:pStyle w:val="NoSpacing"/>
        <w:rPr>
          <w:rFonts w:ascii="Inter" w:hAnsi="Inter" w:cstheme="minorHAnsi"/>
          <w:sz w:val="28"/>
          <w:szCs w:val="28"/>
        </w:rPr>
      </w:pPr>
      <w:r w:rsidRPr="00012467">
        <w:rPr>
          <w:rFonts w:ascii="Inter" w:hAnsi="Inter" w:cstheme="minorHAnsi"/>
          <w:sz w:val="28"/>
          <w:szCs w:val="28"/>
        </w:rPr>
        <w:t>Version control:</w:t>
      </w:r>
    </w:p>
    <w:p w14:paraId="1EAE29E1" w14:textId="77777777" w:rsidR="0009246F" w:rsidRPr="00012467" w:rsidRDefault="0009246F" w:rsidP="007D0BEC">
      <w:pPr>
        <w:pStyle w:val="NoSpacing"/>
        <w:rPr>
          <w:rFonts w:ascii="Inter" w:hAnsi="Inter" w:cstheme="minorHAnsi"/>
          <w:sz w:val="24"/>
          <w:szCs w:val="24"/>
        </w:rPr>
      </w:pPr>
    </w:p>
    <w:tbl>
      <w:tblPr>
        <w:tblStyle w:val="TableGridLight"/>
        <w:tblW w:w="1062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3261"/>
        <w:gridCol w:w="2835"/>
      </w:tblGrid>
      <w:tr w:rsidR="004C1B39" w:rsidRPr="00012467" w14:paraId="3B4E1F75" w14:textId="77777777" w:rsidTr="004C1B39">
        <w:tc>
          <w:tcPr>
            <w:tcW w:w="1838" w:type="dxa"/>
          </w:tcPr>
          <w:p w14:paraId="2998B0FD" w14:textId="77777777" w:rsidR="004C1B39" w:rsidRPr="00012467" w:rsidRDefault="004C1B39" w:rsidP="007D0BEC">
            <w:pPr>
              <w:pStyle w:val="NoSpacing"/>
              <w:rPr>
                <w:rFonts w:ascii="Inter" w:hAnsi="Inter" w:cstheme="minorHAnsi"/>
              </w:rPr>
            </w:pPr>
            <w:r w:rsidRPr="00012467">
              <w:rPr>
                <w:rFonts w:ascii="Inter" w:hAnsi="Inter" w:cstheme="minorHAnsi"/>
              </w:rPr>
              <w:t>Date</w:t>
            </w:r>
          </w:p>
        </w:tc>
        <w:tc>
          <w:tcPr>
            <w:tcW w:w="2693" w:type="dxa"/>
          </w:tcPr>
          <w:p w14:paraId="61CA90AE" w14:textId="77777777" w:rsidR="004C1B39" w:rsidRPr="00012467" w:rsidRDefault="004C1B39" w:rsidP="007D0BEC">
            <w:pPr>
              <w:pStyle w:val="NoSpacing"/>
              <w:rPr>
                <w:rFonts w:ascii="Inter" w:hAnsi="Inter" w:cstheme="minorHAnsi"/>
              </w:rPr>
            </w:pPr>
            <w:r w:rsidRPr="00012467">
              <w:rPr>
                <w:rFonts w:ascii="Inter" w:hAnsi="Inter" w:cstheme="minorHAnsi"/>
              </w:rPr>
              <w:t>Change</w:t>
            </w:r>
          </w:p>
        </w:tc>
        <w:tc>
          <w:tcPr>
            <w:tcW w:w="3261" w:type="dxa"/>
          </w:tcPr>
          <w:p w14:paraId="331D5AF3" w14:textId="77777777" w:rsidR="004C1B39" w:rsidRPr="00012467" w:rsidRDefault="004C1B39" w:rsidP="007D0BEC">
            <w:pPr>
              <w:pStyle w:val="NoSpacing"/>
              <w:rPr>
                <w:rFonts w:ascii="Inter" w:hAnsi="Inter" w:cstheme="minorHAnsi"/>
              </w:rPr>
            </w:pPr>
            <w:r w:rsidRPr="00012467">
              <w:rPr>
                <w:rFonts w:ascii="Inter" w:hAnsi="Inter" w:cstheme="minorHAnsi"/>
              </w:rPr>
              <w:t>Name</w:t>
            </w:r>
          </w:p>
        </w:tc>
        <w:tc>
          <w:tcPr>
            <w:tcW w:w="2835" w:type="dxa"/>
          </w:tcPr>
          <w:p w14:paraId="0836D9CC" w14:textId="3E283DF5" w:rsidR="004C1B39" w:rsidRPr="00D2456A" w:rsidRDefault="00267D99" w:rsidP="007D0BEC">
            <w:pPr>
              <w:pStyle w:val="NoSpacing"/>
              <w:rPr>
                <w:rFonts w:ascii="Inter" w:eastAsia="Calibri" w:hAnsi="Inter" w:cs="Calibri"/>
              </w:rPr>
            </w:pPr>
            <w:r w:rsidRPr="00D2456A">
              <w:rPr>
                <w:rFonts w:ascii="Inter" w:hAnsi="Inter"/>
              </w:rPr>
              <w:t>Senior Management</w:t>
            </w:r>
            <w:r w:rsidR="00BA3EE0" w:rsidRPr="00D2456A">
              <w:rPr>
                <w:rFonts w:ascii="Inter" w:hAnsi="Inter"/>
              </w:rPr>
              <w:t>/</w:t>
            </w:r>
            <w:r w:rsidR="19FA7775" w:rsidRPr="00D2456A">
              <w:rPr>
                <w:rFonts w:ascii="Inter" w:eastAsia="Segoe UI" w:hAnsi="Inter" w:cs="Segoe UI"/>
                <w:color w:val="333333"/>
              </w:rPr>
              <w:t>Board Method of sign</w:t>
            </w:r>
            <w:r w:rsidR="004C1B39" w:rsidRPr="00D2456A">
              <w:rPr>
                <w:rFonts w:ascii="Inter" w:eastAsia="Segoe UI" w:hAnsi="Inter" w:cs="Segoe UI"/>
                <w:color w:val="333333"/>
              </w:rPr>
              <w:t xml:space="preserve"> off</w:t>
            </w:r>
            <w:r w:rsidR="00C660FF" w:rsidRPr="00D2456A">
              <w:rPr>
                <w:rFonts w:ascii="Inter" w:eastAsia="Segoe UI" w:hAnsi="Inter" w:cs="Segoe UI"/>
                <w:color w:val="333333"/>
              </w:rPr>
              <w:t xml:space="preserve"> obtained and date</w:t>
            </w:r>
          </w:p>
        </w:tc>
      </w:tr>
      <w:tr w:rsidR="004C1B39" w:rsidRPr="00012467" w14:paraId="2A1BB6CB" w14:textId="77777777" w:rsidTr="004C1B39">
        <w:tc>
          <w:tcPr>
            <w:tcW w:w="1838" w:type="dxa"/>
          </w:tcPr>
          <w:p w14:paraId="3F1995C2" w14:textId="77777777" w:rsidR="004C1B39" w:rsidRPr="00012467" w:rsidRDefault="004C1B39" w:rsidP="007D0BEC">
            <w:pPr>
              <w:pStyle w:val="NoSpacing"/>
              <w:rPr>
                <w:rFonts w:ascii="Inter" w:hAnsi="Inter" w:cstheme="minorHAnsi"/>
              </w:rPr>
            </w:pPr>
          </w:p>
        </w:tc>
        <w:tc>
          <w:tcPr>
            <w:tcW w:w="2693" w:type="dxa"/>
          </w:tcPr>
          <w:p w14:paraId="53930D8A" w14:textId="77777777" w:rsidR="004C1B39" w:rsidRPr="00012467" w:rsidRDefault="004C1B39" w:rsidP="007D0BEC">
            <w:pPr>
              <w:pStyle w:val="NoSpacing"/>
              <w:rPr>
                <w:rFonts w:ascii="Inter" w:hAnsi="Inter" w:cstheme="minorHAnsi"/>
              </w:rPr>
            </w:pPr>
          </w:p>
        </w:tc>
        <w:tc>
          <w:tcPr>
            <w:tcW w:w="3261" w:type="dxa"/>
          </w:tcPr>
          <w:p w14:paraId="4B7B4DB6" w14:textId="77777777" w:rsidR="004C1B39" w:rsidRPr="00012467" w:rsidRDefault="004C1B39" w:rsidP="007D0BEC">
            <w:pPr>
              <w:pStyle w:val="NoSpacing"/>
              <w:rPr>
                <w:rFonts w:ascii="Inter" w:hAnsi="Inter" w:cstheme="minorHAnsi"/>
              </w:rPr>
            </w:pPr>
          </w:p>
        </w:tc>
        <w:tc>
          <w:tcPr>
            <w:tcW w:w="2835" w:type="dxa"/>
          </w:tcPr>
          <w:p w14:paraId="54610C24" w14:textId="77777777" w:rsidR="004C1B39" w:rsidRPr="00012467" w:rsidRDefault="004C1B39" w:rsidP="007D0BEC">
            <w:pPr>
              <w:pStyle w:val="NoSpacing"/>
              <w:rPr>
                <w:rFonts w:ascii="Inter" w:hAnsi="Inter" w:cstheme="minorHAnsi"/>
              </w:rPr>
            </w:pPr>
          </w:p>
        </w:tc>
      </w:tr>
      <w:tr w:rsidR="004C1B39" w:rsidRPr="00012467" w14:paraId="4A022DC2" w14:textId="77777777" w:rsidTr="004C1B39">
        <w:tc>
          <w:tcPr>
            <w:tcW w:w="1838" w:type="dxa"/>
          </w:tcPr>
          <w:p w14:paraId="04404AF0" w14:textId="77777777" w:rsidR="004C1B39" w:rsidRPr="00012467" w:rsidRDefault="004C1B39" w:rsidP="007D0BEC">
            <w:pPr>
              <w:pStyle w:val="NoSpacing"/>
              <w:rPr>
                <w:rFonts w:ascii="Inter" w:hAnsi="Inter" w:cstheme="minorHAnsi"/>
              </w:rPr>
            </w:pPr>
          </w:p>
        </w:tc>
        <w:tc>
          <w:tcPr>
            <w:tcW w:w="2693" w:type="dxa"/>
          </w:tcPr>
          <w:p w14:paraId="31878DB7" w14:textId="77777777" w:rsidR="004C1B39" w:rsidRPr="00012467" w:rsidRDefault="004C1B39" w:rsidP="007D0BEC">
            <w:pPr>
              <w:pStyle w:val="NoSpacing"/>
              <w:rPr>
                <w:rFonts w:ascii="Inter" w:hAnsi="Inter" w:cstheme="minorHAnsi"/>
              </w:rPr>
            </w:pPr>
          </w:p>
        </w:tc>
        <w:tc>
          <w:tcPr>
            <w:tcW w:w="3261" w:type="dxa"/>
          </w:tcPr>
          <w:p w14:paraId="3854659F" w14:textId="77777777" w:rsidR="004C1B39" w:rsidRPr="00012467" w:rsidRDefault="004C1B39" w:rsidP="007D0BEC">
            <w:pPr>
              <w:pStyle w:val="NoSpacing"/>
              <w:rPr>
                <w:rFonts w:ascii="Inter" w:hAnsi="Inter" w:cstheme="minorHAnsi"/>
              </w:rPr>
            </w:pPr>
          </w:p>
        </w:tc>
        <w:tc>
          <w:tcPr>
            <w:tcW w:w="2835" w:type="dxa"/>
          </w:tcPr>
          <w:p w14:paraId="18CB4AD3" w14:textId="77777777" w:rsidR="004C1B39" w:rsidRPr="00012467" w:rsidRDefault="004C1B39" w:rsidP="007D0BEC">
            <w:pPr>
              <w:pStyle w:val="NoSpacing"/>
              <w:rPr>
                <w:rFonts w:ascii="Inter" w:hAnsi="Inter" w:cstheme="minorHAnsi"/>
              </w:rPr>
            </w:pPr>
          </w:p>
        </w:tc>
      </w:tr>
      <w:tr w:rsidR="004C1B39" w:rsidRPr="00012467" w14:paraId="452B1C74" w14:textId="77777777" w:rsidTr="004C1B39">
        <w:tc>
          <w:tcPr>
            <w:tcW w:w="1838" w:type="dxa"/>
          </w:tcPr>
          <w:p w14:paraId="50A252A7" w14:textId="77777777" w:rsidR="004C1B39" w:rsidRPr="00012467" w:rsidRDefault="004C1B39" w:rsidP="007D0BEC">
            <w:pPr>
              <w:pStyle w:val="NoSpacing"/>
              <w:rPr>
                <w:rFonts w:ascii="Inter" w:hAnsi="Inter" w:cstheme="minorHAnsi"/>
              </w:rPr>
            </w:pPr>
          </w:p>
        </w:tc>
        <w:tc>
          <w:tcPr>
            <w:tcW w:w="2693" w:type="dxa"/>
          </w:tcPr>
          <w:p w14:paraId="7E49AF13" w14:textId="77777777" w:rsidR="004C1B39" w:rsidRPr="00012467" w:rsidRDefault="004C1B39" w:rsidP="007D0BEC">
            <w:pPr>
              <w:pStyle w:val="NoSpacing"/>
              <w:rPr>
                <w:rFonts w:ascii="Inter" w:hAnsi="Inter" w:cstheme="minorHAnsi"/>
              </w:rPr>
            </w:pPr>
          </w:p>
        </w:tc>
        <w:tc>
          <w:tcPr>
            <w:tcW w:w="3261" w:type="dxa"/>
          </w:tcPr>
          <w:p w14:paraId="6BCE6702" w14:textId="77777777" w:rsidR="004C1B39" w:rsidRPr="00012467" w:rsidRDefault="004C1B39" w:rsidP="007D0BEC">
            <w:pPr>
              <w:pStyle w:val="NoSpacing"/>
              <w:rPr>
                <w:rFonts w:ascii="Inter" w:hAnsi="Inter" w:cstheme="minorHAnsi"/>
              </w:rPr>
            </w:pPr>
          </w:p>
        </w:tc>
        <w:tc>
          <w:tcPr>
            <w:tcW w:w="2835" w:type="dxa"/>
          </w:tcPr>
          <w:p w14:paraId="6852A259" w14:textId="77777777" w:rsidR="004C1B39" w:rsidRPr="00012467" w:rsidRDefault="004C1B39" w:rsidP="007D0BEC">
            <w:pPr>
              <w:pStyle w:val="NoSpacing"/>
              <w:rPr>
                <w:rFonts w:ascii="Inter" w:hAnsi="Inter" w:cstheme="minorHAnsi"/>
              </w:rPr>
            </w:pPr>
          </w:p>
        </w:tc>
      </w:tr>
      <w:tr w:rsidR="004C1B39" w:rsidRPr="00012467" w14:paraId="190C74EA" w14:textId="77777777" w:rsidTr="004C1B39">
        <w:tc>
          <w:tcPr>
            <w:tcW w:w="1838" w:type="dxa"/>
          </w:tcPr>
          <w:p w14:paraId="21EF6C1A" w14:textId="77777777" w:rsidR="004C1B39" w:rsidRPr="00012467" w:rsidRDefault="004C1B39" w:rsidP="007D0BEC">
            <w:pPr>
              <w:pStyle w:val="NoSpacing"/>
              <w:rPr>
                <w:rFonts w:ascii="Inter" w:hAnsi="Inter" w:cstheme="minorHAnsi"/>
              </w:rPr>
            </w:pPr>
          </w:p>
        </w:tc>
        <w:tc>
          <w:tcPr>
            <w:tcW w:w="2693" w:type="dxa"/>
          </w:tcPr>
          <w:p w14:paraId="7912F2BD" w14:textId="77777777" w:rsidR="004C1B39" w:rsidRPr="00012467" w:rsidRDefault="004C1B39" w:rsidP="007D0BEC">
            <w:pPr>
              <w:pStyle w:val="NoSpacing"/>
              <w:rPr>
                <w:rFonts w:ascii="Inter" w:hAnsi="Inter" w:cstheme="minorHAnsi"/>
              </w:rPr>
            </w:pPr>
          </w:p>
        </w:tc>
        <w:tc>
          <w:tcPr>
            <w:tcW w:w="3261" w:type="dxa"/>
          </w:tcPr>
          <w:p w14:paraId="66F73FEF" w14:textId="77777777" w:rsidR="004C1B39" w:rsidRPr="00012467" w:rsidRDefault="004C1B39" w:rsidP="007D0BEC">
            <w:pPr>
              <w:pStyle w:val="NoSpacing"/>
              <w:rPr>
                <w:rFonts w:ascii="Inter" w:hAnsi="Inter" w:cstheme="minorHAnsi"/>
              </w:rPr>
            </w:pPr>
          </w:p>
        </w:tc>
        <w:tc>
          <w:tcPr>
            <w:tcW w:w="2835" w:type="dxa"/>
          </w:tcPr>
          <w:p w14:paraId="365C96A8" w14:textId="77777777" w:rsidR="004C1B39" w:rsidRPr="00012467" w:rsidRDefault="004C1B39" w:rsidP="007D0BEC">
            <w:pPr>
              <w:pStyle w:val="NoSpacing"/>
              <w:rPr>
                <w:rFonts w:ascii="Inter" w:hAnsi="Inter" w:cstheme="minorHAnsi"/>
              </w:rPr>
            </w:pPr>
          </w:p>
        </w:tc>
      </w:tr>
      <w:tr w:rsidR="004C1B39" w:rsidRPr="00012467" w14:paraId="7105F040" w14:textId="77777777" w:rsidTr="004C1B39">
        <w:tc>
          <w:tcPr>
            <w:tcW w:w="1838" w:type="dxa"/>
          </w:tcPr>
          <w:p w14:paraId="0DEDEC3C" w14:textId="77777777" w:rsidR="004C1B39" w:rsidRPr="00012467" w:rsidRDefault="004C1B39" w:rsidP="007D0BEC">
            <w:pPr>
              <w:pStyle w:val="NoSpacing"/>
              <w:rPr>
                <w:rFonts w:ascii="Inter" w:hAnsi="Inter" w:cstheme="minorHAnsi"/>
              </w:rPr>
            </w:pPr>
          </w:p>
        </w:tc>
        <w:tc>
          <w:tcPr>
            <w:tcW w:w="2693" w:type="dxa"/>
          </w:tcPr>
          <w:p w14:paraId="7B8C6840" w14:textId="77777777" w:rsidR="004C1B39" w:rsidRPr="00012467" w:rsidRDefault="004C1B39" w:rsidP="007D0BEC">
            <w:pPr>
              <w:pStyle w:val="NoSpacing"/>
              <w:rPr>
                <w:rFonts w:ascii="Inter" w:hAnsi="Inter" w:cstheme="minorHAnsi"/>
              </w:rPr>
            </w:pPr>
          </w:p>
        </w:tc>
        <w:tc>
          <w:tcPr>
            <w:tcW w:w="3261" w:type="dxa"/>
          </w:tcPr>
          <w:p w14:paraId="548850C4" w14:textId="77777777" w:rsidR="004C1B39" w:rsidRPr="00012467" w:rsidRDefault="004C1B39" w:rsidP="007D0BEC">
            <w:pPr>
              <w:pStyle w:val="NoSpacing"/>
              <w:rPr>
                <w:rFonts w:ascii="Inter" w:hAnsi="Inter" w:cstheme="minorHAnsi"/>
              </w:rPr>
            </w:pPr>
          </w:p>
        </w:tc>
        <w:tc>
          <w:tcPr>
            <w:tcW w:w="2835" w:type="dxa"/>
          </w:tcPr>
          <w:p w14:paraId="0C8F503D" w14:textId="77777777" w:rsidR="004C1B39" w:rsidRPr="00012467" w:rsidRDefault="004C1B39" w:rsidP="007D0BEC">
            <w:pPr>
              <w:pStyle w:val="NoSpacing"/>
              <w:rPr>
                <w:rFonts w:ascii="Inter" w:hAnsi="Inter" w:cstheme="minorHAnsi"/>
              </w:rPr>
            </w:pPr>
          </w:p>
        </w:tc>
      </w:tr>
    </w:tbl>
    <w:p w14:paraId="0025FF4E" w14:textId="7772900E" w:rsidR="00995851" w:rsidRPr="00012467" w:rsidRDefault="00995851" w:rsidP="007D0BEC">
      <w:pPr>
        <w:pStyle w:val="NoSpacing"/>
        <w:rPr>
          <w:rFonts w:ascii="Inter" w:hAnsi="Inter" w:cstheme="minorHAnsi"/>
        </w:rPr>
      </w:pPr>
    </w:p>
    <w:sdt>
      <w:sdtPr>
        <w:rPr>
          <w:rFonts w:ascii="Inter" w:eastAsiaTheme="minorEastAsia" w:hAnsi="Inter" w:cstheme="minorBidi"/>
          <w:color w:val="auto"/>
          <w:sz w:val="22"/>
          <w:szCs w:val="22"/>
          <w:lang w:val="en-GB"/>
        </w:rPr>
        <w:id w:val="-291215092"/>
        <w:docPartObj>
          <w:docPartGallery w:val="Table of Contents"/>
          <w:docPartUnique/>
        </w:docPartObj>
      </w:sdtPr>
      <w:sdtEndPr>
        <w:rPr>
          <w:b/>
        </w:rPr>
      </w:sdtEndPr>
      <w:sdtContent>
        <w:p w14:paraId="31FB5CE1" w14:textId="3F714435" w:rsidR="00DB40D8" w:rsidRPr="00012467" w:rsidRDefault="00DB40D8" w:rsidP="00556C39">
          <w:pPr>
            <w:pStyle w:val="TOCHeading"/>
            <w:spacing w:before="0" w:line="240" w:lineRule="auto"/>
            <w:rPr>
              <w:rFonts w:ascii="Inter" w:hAnsi="Inter" w:cstheme="minorHAnsi"/>
              <w:u w:val="single"/>
            </w:rPr>
          </w:pPr>
          <w:r w:rsidRPr="00012467">
            <w:rPr>
              <w:rFonts w:ascii="Inter" w:hAnsi="Inter" w:cstheme="minorHAnsi"/>
              <w:u w:val="single"/>
            </w:rPr>
            <w:t>Table of Contents</w:t>
          </w:r>
        </w:p>
        <w:p w14:paraId="6F87ABEF" w14:textId="5C34F457" w:rsidR="00D37EB6" w:rsidRPr="00012467" w:rsidRDefault="00DB40D8">
          <w:pPr>
            <w:pStyle w:val="TOC1"/>
            <w:rPr>
              <w:rFonts w:ascii="Inter" w:eastAsiaTheme="minorEastAsia" w:hAnsi="Inter"/>
              <w:noProof/>
              <w:lang w:eastAsia="en-GB"/>
            </w:rPr>
          </w:pPr>
          <w:r w:rsidRPr="00012467">
            <w:rPr>
              <w:rFonts w:ascii="Inter" w:hAnsi="Inter" w:cstheme="minorHAnsi"/>
            </w:rPr>
            <w:fldChar w:fldCharType="begin"/>
          </w:r>
          <w:r w:rsidRPr="00012467">
            <w:rPr>
              <w:rFonts w:ascii="Inter" w:hAnsi="Inter" w:cstheme="minorHAnsi"/>
            </w:rPr>
            <w:instrText xml:space="preserve"> TOC \o "1-3" \h \z \u </w:instrText>
          </w:r>
          <w:r w:rsidRPr="00012467">
            <w:rPr>
              <w:rFonts w:ascii="Inter" w:hAnsi="Inter" w:cstheme="minorHAnsi"/>
            </w:rPr>
            <w:fldChar w:fldCharType="separate"/>
          </w:r>
          <w:hyperlink w:anchor="_Toc126840553" w:history="1">
            <w:r w:rsidR="00D37EB6" w:rsidRPr="00012467">
              <w:rPr>
                <w:rStyle w:val="Hyperlink"/>
                <w:rFonts w:ascii="Inter" w:hAnsi="Inter" w:cstheme="minorHAnsi"/>
                <w:noProof/>
              </w:rPr>
              <w:t>Overview</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_Toc126840553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3</w:t>
            </w:r>
            <w:r w:rsidR="00D37EB6" w:rsidRPr="00012467">
              <w:rPr>
                <w:rFonts w:ascii="Inter" w:hAnsi="Inter"/>
                <w:noProof/>
                <w:webHidden/>
              </w:rPr>
              <w:fldChar w:fldCharType="end"/>
            </w:r>
          </w:hyperlink>
        </w:p>
        <w:p w14:paraId="42DBECCE" w14:textId="58EE440B" w:rsidR="00D37EB6" w:rsidRPr="00012467" w:rsidRDefault="00314C16">
          <w:pPr>
            <w:pStyle w:val="TOC1"/>
            <w:rPr>
              <w:rFonts w:ascii="Inter" w:eastAsiaTheme="minorEastAsia" w:hAnsi="Inter"/>
              <w:noProof/>
              <w:lang w:eastAsia="en-GB"/>
            </w:rPr>
          </w:pPr>
          <w:hyperlink w:anchor="_Toc126840554" w:history="1">
            <w:r w:rsidR="00D37EB6" w:rsidRPr="00012467">
              <w:rPr>
                <w:rStyle w:val="Hyperlink"/>
                <w:rFonts w:ascii="Inter" w:hAnsi="Inter" w:cstheme="minorHAnsi"/>
                <w:noProof/>
              </w:rPr>
              <w:t>Obligations</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_Toc126840554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4</w:t>
            </w:r>
            <w:r w:rsidR="00D37EB6" w:rsidRPr="00012467">
              <w:rPr>
                <w:rFonts w:ascii="Inter" w:hAnsi="Inter"/>
                <w:noProof/>
                <w:webHidden/>
              </w:rPr>
              <w:fldChar w:fldCharType="end"/>
            </w:r>
          </w:hyperlink>
        </w:p>
        <w:p w14:paraId="0A1873C8" w14:textId="11E238C2" w:rsidR="00D37EB6" w:rsidRPr="00012467" w:rsidRDefault="00314C16">
          <w:pPr>
            <w:pStyle w:val="TOC2"/>
            <w:rPr>
              <w:rFonts w:ascii="Inter" w:eastAsiaTheme="minorEastAsia" w:hAnsi="Inter"/>
              <w:noProof/>
              <w:lang w:eastAsia="en-GB"/>
            </w:rPr>
          </w:pPr>
          <w:hyperlink w:anchor="_Toc126840555" w:history="1">
            <w:r w:rsidR="00D37EB6" w:rsidRPr="00012467">
              <w:rPr>
                <w:rStyle w:val="Hyperlink"/>
                <w:rFonts w:ascii="Inter" w:hAnsi="Inter" w:cstheme="minorHAnsi"/>
                <w:noProof/>
              </w:rPr>
              <w:t>MLRO</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_Toc126840555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4</w:t>
            </w:r>
            <w:r w:rsidR="00D37EB6" w:rsidRPr="00012467">
              <w:rPr>
                <w:rFonts w:ascii="Inter" w:hAnsi="Inter"/>
                <w:noProof/>
                <w:webHidden/>
              </w:rPr>
              <w:fldChar w:fldCharType="end"/>
            </w:r>
          </w:hyperlink>
        </w:p>
        <w:p w14:paraId="671E6412" w14:textId="0110BCA5" w:rsidR="00D37EB6" w:rsidRPr="00012467" w:rsidRDefault="00314C16">
          <w:pPr>
            <w:pStyle w:val="TOC3"/>
            <w:tabs>
              <w:tab w:val="right" w:leader="dot" w:pos="9016"/>
            </w:tabs>
            <w:rPr>
              <w:rFonts w:ascii="Inter" w:eastAsiaTheme="minorEastAsia" w:hAnsi="Inter"/>
              <w:noProof/>
              <w:lang w:eastAsia="en-GB"/>
            </w:rPr>
          </w:pPr>
          <w:hyperlink w:anchor="_Toc126840556" w:history="1">
            <w:r w:rsidR="00D37EB6" w:rsidRPr="00012467">
              <w:rPr>
                <w:rStyle w:val="Hyperlink"/>
                <w:rFonts w:ascii="Inter" w:hAnsi="Inter"/>
                <w:noProof/>
              </w:rPr>
              <w:t>The MLRO should be:</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_Toc126840556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5</w:t>
            </w:r>
            <w:r w:rsidR="00D37EB6" w:rsidRPr="00012467">
              <w:rPr>
                <w:rFonts w:ascii="Inter" w:hAnsi="Inter"/>
                <w:noProof/>
                <w:webHidden/>
              </w:rPr>
              <w:fldChar w:fldCharType="end"/>
            </w:r>
          </w:hyperlink>
        </w:p>
        <w:p w14:paraId="13F1EB05" w14:textId="7D067631" w:rsidR="00D37EB6" w:rsidRPr="00012467" w:rsidRDefault="00314C16">
          <w:pPr>
            <w:pStyle w:val="TOC1"/>
            <w:rPr>
              <w:rFonts w:ascii="Inter" w:eastAsiaTheme="minorEastAsia" w:hAnsi="Inter"/>
              <w:noProof/>
              <w:lang w:eastAsia="en-GB"/>
            </w:rPr>
          </w:pPr>
          <w:hyperlink w:anchor="_Toc126840557" w:history="1">
            <w:r w:rsidR="00D37EB6" w:rsidRPr="00012467">
              <w:rPr>
                <w:rStyle w:val="Hyperlink"/>
                <w:rFonts w:ascii="Inter" w:hAnsi="Inter" w:cstheme="minorHAnsi"/>
                <w:bCs/>
                <w:noProof/>
              </w:rPr>
              <w:t>Risk Assessment</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_Toc126840557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5</w:t>
            </w:r>
            <w:r w:rsidR="00D37EB6" w:rsidRPr="00012467">
              <w:rPr>
                <w:rFonts w:ascii="Inter" w:hAnsi="Inter"/>
                <w:noProof/>
                <w:webHidden/>
              </w:rPr>
              <w:fldChar w:fldCharType="end"/>
            </w:r>
          </w:hyperlink>
        </w:p>
        <w:p w14:paraId="42D1E88C" w14:textId="710A8697" w:rsidR="00D37EB6" w:rsidRPr="00012467" w:rsidRDefault="00314C16">
          <w:pPr>
            <w:pStyle w:val="TOC2"/>
            <w:rPr>
              <w:rFonts w:ascii="Inter" w:eastAsiaTheme="minorEastAsia" w:hAnsi="Inter"/>
              <w:noProof/>
              <w:lang w:eastAsia="en-GB"/>
            </w:rPr>
          </w:pPr>
          <w:hyperlink w:anchor="_Toc126840558" w:history="1">
            <w:r w:rsidR="00D37EB6" w:rsidRPr="00012467">
              <w:rPr>
                <w:rStyle w:val="Hyperlink"/>
                <w:rFonts w:ascii="Inter" w:hAnsi="Inter" w:cstheme="majorHAnsi"/>
                <w:noProof/>
              </w:rPr>
              <w:t>Practice Wide Risk Assessment (PWRA)</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_Toc126840558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5</w:t>
            </w:r>
            <w:r w:rsidR="00D37EB6" w:rsidRPr="00012467">
              <w:rPr>
                <w:rFonts w:ascii="Inter" w:hAnsi="Inter"/>
                <w:noProof/>
                <w:webHidden/>
              </w:rPr>
              <w:fldChar w:fldCharType="end"/>
            </w:r>
          </w:hyperlink>
        </w:p>
        <w:p w14:paraId="09D31283" w14:textId="3CF5F3CA" w:rsidR="00D37EB6" w:rsidRPr="00012467" w:rsidRDefault="00314C16">
          <w:pPr>
            <w:pStyle w:val="TOC2"/>
            <w:rPr>
              <w:rFonts w:ascii="Inter" w:eastAsiaTheme="minorEastAsia" w:hAnsi="Inter"/>
              <w:noProof/>
              <w:lang w:eastAsia="en-GB"/>
            </w:rPr>
          </w:pPr>
          <w:hyperlink w:anchor="_Toc126840559" w:history="1">
            <w:r w:rsidR="00D37EB6" w:rsidRPr="00012467">
              <w:rPr>
                <w:rStyle w:val="Hyperlink"/>
                <w:rFonts w:ascii="Inter" w:hAnsi="Inter" w:cstheme="majorHAnsi"/>
                <w:noProof/>
              </w:rPr>
              <w:t>Client/Matter-Level Risk Assessment</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_Toc126840559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6</w:t>
            </w:r>
            <w:r w:rsidR="00D37EB6" w:rsidRPr="00012467">
              <w:rPr>
                <w:rFonts w:ascii="Inter" w:hAnsi="Inter"/>
                <w:noProof/>
                <w:webHidden/>
              </w:rPr>
              <w:fldChar w:fldCharType="end"/>
            </w:r>
          </w:hyperlink>
        </w:p>
        <w:p w14:paraId="0179E24B" w14:textId="1D249E2B" w:rsidR="00D37EB6" w:rsidRPr="00012467" w:rsidRDefault="00314C16">
          <w:pPr>
            <w:pStyle w:val="TOC1"/>
            <w:rPr>
              <w:rFonts w:ascii="Inter" w:eastAsiaTheme="minorEastAsia" w:hAnsi="Inter"/>
              <w:noProof/>
              <w:lang w:eastAsia="en-GB"/>
            </w:rPr>
          </w:pPr>
          <w:hyperlink w:anchor="_Toc126840560" w:history="1">
            <w:r w:rsidR="00D37EB6" w:rsidRPr="00012467">
              <w:rPr>
                <w:rStyle w:val="Hyperlink"/>
                <w:rFonts w:ascii="Inter" w:hAnsi="Inter" w:cstheme="minorHAnsi"/>
                <w:noProof/>
              </w:rPr>
              <w:t>Client Due Diligence</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_Toc126840560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6</w:t>
            </w:r>
            <w:r w:rsidR="00D37EB6" w:rsidRPr="00012467">
              <w:rPr>
                <w:rFonts w:ascii="Inter" w:hAnsi="Inter"/>
                <w:noProof/>
                <w:webHidden/>
              </w:rPr>
              <w:fldChar w:fldCharType="end"/>
            </w:r>
          </w:hyperlink>
        </w:p>
        <w:p w14:paraId="3BEAFB4A" w14:textId="1758D3B1" w:rsidR="00D37EB6" w:rsidRPr="00012467" w:rsidRDefault="00314C16">
          <w:pPr>
            <w:pStyle w:val="TOC2"/>
            <w:rPr>
              <w:rFonts w:ascii="Inter" w:eastAsiaTheme="minorEastAsia" w:hAnsi="Inter"/>
              <w:noProof/>
              <w:lang w:eastAsia="en-GB"/>
            </w:rPr>
          </w:pPr>
          <w:hyperlink w:anchor="_Toc126840561" w:history="1">
            <w:r w:rsidR="00D37EB6" w:rsidRPr="00012467">
              <w:rPr>
                <w:rStyle w:val="Hyperlink"/>
                <w:rFonts w:ascii="Inter" w:hAnsi="Inter" w:cstheme="majorHAnsi"/>
                <w:noProof/>
              </w:rPr>
              <w:t>Source of Funds (SoF)</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_Toc126840561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7</w:t>
            </w:r>
            <w:r w:rsidR="00D37EB6" w:rsidRPr="00012467">
              <w:rPr>
                <w:rFonts w:ascii="Inter" w:hAnsi="Inter"/>
                <w:noProof/>
                <w:webHidden/>
              </w:rPr>
              <w:fldChar w:fldCharType="end"/>
            </w:r>
          </w:hyperlink>
        </w:p>
        <w:p w14:paraId="40B70785" w14:textId="244A7717" w:rsidR="00D37EB6" w:rsidRPr="00012467" w:rsidRDefault="00314C16">
          <w:pPr>
            <w:pStyle w:val="TOC2"/>
            <w:rPr>
              <w:rFonts w:ascii="Inter" w:eastAsiaTheme="minorEastAsia" w:hAnsi="Inter"/>
              <w:noProof/>
              <w:lang w:eastAsia="en-GB"/>
            </w:rPr>
          </w:pPr>
          <w:hyperlink w:anchor="_Toc126840562" w:history="1">
            <w:r w:rsidR="00D37EB6" w:rsidRPr="00012467">
              <w:rPr>
                <w:rStyle w:val="Hyperlink"/>
                <w:rFonts w:ascii="Inter" w:hAnsi="Inter"/>
                <w:noProof/>
              </w:rPr>
              <w:t>Source of Wealth (SoW)</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_Toc126840562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8</w:t>
            </w:r>
            <w:r w:rsidR="00D37EB6" w:rsidRPr="00012467">
              <w:rPr>
                <w:rFonts w:ascii="Inter" w:hAnsi="Inter"/>
                <w:noProof/>
                <w:webHidden/>
              </w:rPr>
              <w:fldChar w:fldCharType="end"/>
            </w:r>
          </w:hyperlink>
        </w:p>
        <w:p w14:paraId="48A8631D" w14:textId="1AF3CDD9" w:rsidR="00D37EB6" w:rsidRPr="00012467" w:rsidRDefault="00314C16">
          <w:pPr>
            <w:pStyle w:val="TOC1"/>
            <w:rPr>
              <w:rFonts w:ascii="Inter" w:eastAsiaTheme="minorEastAsia" w:hAnsi="Inter"/>
              <w:noProof/>
              <w:lang w:eastAsia="en-GB"/>
            </w:rPr>
          </w:pPr>
          <w:hyperlink w:anchor="_Toc126840563" w:history="1">
            <w:r w:rsidR="00D37EB6" w:rsidRPr="00012467">
              <w:rPr>
                <w:rStyle w:val="Hyperlink"/>
                <w:rFonts w:ascii="Inter" w:hAnsi="Inter" w:cstheme="minorHAnsi"/>
                <w:bCs/>
                <w:noProof/>
              </w:rPr>
              <w:t>Simplified Due Diligence</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_Toc126840563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9</w:t>
            </w:r>
            <w:r w:rsidR="00D37EB6" w:rsidRPr="00012467">
              <w:rPr>
                <w:rFonts w:ascii="Inter" w:hAnsi="Inter"/>
                <w:noProof/>
                <w:webHidden/>
              </w:rPr>
              <w:fldChar w:fldCharType="end"/>
            </w:r>
          </w:hyperlink>
        </w:p>
        <w:p w14:paraId="7EEF3BA7" w14:textId="5015E1C5" w:rsidR="00D37EB6" w:rsidRPr="00012467" w:rsidRDefault="00314C16">
          <w:pPr>
            <w:pStyle w:val="TOC2"/>
            <w:rPr>
              <w:rFonts w:ascii="Inter" w:eastAsiaTheme="minorEastAsia" w:hAnsi="Inter"/>
              <w:noProof/>
              <w:lang w:eastAsia="en-GB"/>
            </w:rPr>
          </w:pPr>
          <w:hyperlink w:anchor="_Toc126840564" w:history="1">
            <w:r w:rsidR="00D37EB6" w:rsidRPr="00012467">
              <w:rPr>
                <w:rStyle w:val="Hyperlink"/>
                <w:rFonts w:ascii="Inter" w:hAnsi="Inter" w:cstheme="minorHAnsi"/>
                <w:noProof/>
              </w:rPr>
              <w:t>Ongoing</w:t>
            </w:r>
            <w:r w:rsidR="00D37EB6" w:rsidRPr="00012467">
              <w:rPr>
                <w:rStyle w:val="Hyperlink"/>
                <w:rFonts w:ascii="Inter" w:hAnsi="Inter"/>
                <w:noProof/>
              </w:rPr>
              <w:t xml:space="preserve"> </w:t>
            </w:r>
            <w:r w:rsidR="00D37EB6" w:rsidRPr="00012467">
              <w:rPr>
                <w:rStyle w:val="Hyperlink"/>
                <w:rFonts w:ascii="Inter" w:hAnsi="Inter" w:cstheme="minorHAnsi"/>
                <w:noProof/>
              </w:rPr>
              <w:t>Monitoring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_Toc126840564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9</w:t>
            </w:r>
            <w:r w:rsidR="00D37EB6" w:rsidRPr="00012467">
              <w:rPr>
                <w:rFonts w:ascii="Inter" w:hAnsi="Inter"/>
                <w:noProof/>
                <w:webHidden/>
              </w:rPr>
              <w:fldChar w:fldCharType="end"/>
            </w:r>
          </w:hyperlink>
        </w:p>
        <w:p w14:paraId="3AD079FE" w14:textId="2BA06B0C" w:rsidR="00D37EB6" w:rsidRPr="00012467" w:rsidRDefault="00314C16">
          <w:pPr>
            <w:pStyle w:val="TOC2"/>
            <w:rPr>
              <w:rFonts w:ascii="Inter" w:eastAsiaTheme="minorEastAsia" w:hAnsi="Inter"/>
              <w:noProof/>
              <w:lang w:eastAsia="en-GB"/>
            </w:rPr>
          </w:pPr>
          <w:hyperlink w:anchor="_Toc126840565" w:history="1">
            <w:r w:rsidR="00D37EB6" w:rsidRPr="00012467">
              <w:rPr>
                <w:rStyle w:val="Hyperlink"/>
                <w:rFonts w:ascii="Inter" w:hAnsi="Inter"/>
                <w:noProof/>
              </w:rPr>
              <w:t>Reliance</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_Toc126840565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10</w:t>
            </w:r>
            <w:r w:rsidR="00D37EB6" w:rsidRPr="00012467">
              <w:rPr>
                <w:rFonts w:ascii="Inter" w:hAnsi="Inter"/>
                <w:noProof/>
                <w:webHidden/>
              </w:rPr>
              <w:fldChar w:fldCharType="end"/>
            </w:r>
          </w:hyperlink>
        </w:p>
        <w:p w14:paraId="6AE4D6B8" w14:textId="210946AF" w:rsidR="00D37EB6" w:rsidRPr="00012467" w:rsidRDefault="00314C16">
          <w:pPr>
            <w:pStyle w:val="TOC1"/>
            <w:rPr>
              <w:rFonts w:ascii="Inter" w:eastAsiaTheme="minorEastAsia" w:hAnsi="Inter"/>
              <w:noProof/>
              <w:lang w:eastAsia="en-GB"/>
            </w:rPr>
          </w:pPr>
          <w:hyperlink w:anchor="_Toc126840566" w:history="1">
            <w:r w:rsidR="00D37EB6" w:rsidRPr="00012467">
              <w:rPr>
                <w:rStyle w:val="Hyperlink"/>
                <w:rFonts w:ascii="Inter" w:hAnsi="Inter" w:cstheme="minorHAnsi"/>
                <w:noProof/>
              </w:rPr>
              <w:t>Enhanced Due Diligence (EDD)</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_Toc126840566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11</w:t>
            </w:r>
            <w:r w:rsidR="00D37EB6" w:rsidRPr="00012467">
              <w:rPr>
                <w:rFonts w:ascii="Inter" w:hAnsi="Inter"/>
                <w:noProof/>
                <w:webHidden/>
              </w:rPr>
              <w:fldChar w:fldCharType="end"/>
            </w:r>
          </w:hyperlink>
        </w:p>
        <w:p w14:paraId="680E3BB0" w14:textId="458CEE68" w:rsidR="00D37EB6" w:rsidRPr="00012467" w:rsidRDefault="00314C16">
          <w:pPr>
            <w:pStyle w:val="TOC2"/>
            <w:rPr>
              <w:rFonts w:ascii="Inter" w:eastAsiaTheme="minorEastAsia" w:hAnsi="Inter"/>
              <w:noProof/>
              <w:lang w:eastAsia="en-GB"/>
            </w:rPr>
          </w:pPr>
          <w:hyperlink w:anchor="_Toc126840567" w:history="1">
            <w:r w:rsidR="00D37EB6" w:rsidRPr="00012467">
              <w:rPr>
                <w:rStyle w:val="Hyperlink"/>
                <w:rFonts w:ascii="Inter" w:hAnsi="Inter" w:cstheme="majorHAnsi"/>
                <w:noProof/>
              </w:rPr>
              <w:t>When to apply EDD</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_Toc126840567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11</w:t>
            </w:r>
            <w:r w:rsidR="00D37EB6" w:rsidRPr="00012467">
              <w:rPr>
                <w:rFonts w:ascii="Inter" w:hAnsi="Inter"/>
                <w:noProof/>
                <w:webHidden/>
              </w:rPr>
              <w:fldChar w:fldCharType="end"/>
            </w:r>
          </w:hyperlink>
        </w:p>
        <w:p w14:paraId="0514D00B" w14:textId="67D6C4D8" w:rsidR="00D37EB6" w:rsidRPr="00012467" w:rsidRDefault="00314C16">
          <w:pPr>
            <w:pStyle w:val="TOC3"/>
            <w:tabs>
              <w:tab w:val="right" w:leader="dot" w:pos="9016"/>
            </w:tabs>
            <w:rPr>
              <w:rFonts w:ascii="Inter" w:eastAsiaTheme="minorEastAsia" w:hAnsi="Inter"/>
              <w:noProof/>
              <w:lang w:eastAsia="en-GB"/>
            </w:rPr>
          </w:pPr>
          <w:hyperlink w:anchor="_Toc126840568" w:history="1">
            <w:r w:rsidR="00D37EB6" w:rsidRPr="00012467">
              <w:rPr>
                <w:rStyle w:val="Hyperlink"/>
                <w:rFonts w:ascii="Inter" w:hAnsi="Inter"/>
                <w:bCs/>
                <w:noProof/>
              </w:rPr>
              <w:t>Enhanced Ongoing Monitoring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_Toc126840568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13</w:t>
            </w:r>
            <w:r w:rsidR="00D37EB6" w:rsidRPr="00012467">
              <w:rPr>
                <w:rFonts w:ascii="Inter" w:hAnsi="Inter"/>
                <w:noProof/>
                <w:webHidden/>
              </w:rPr>
              <w:fldChar w:fldCharType="end"/>
            </w:r>
          </w:hyperlink>
        </w:p>
        <w:p w14:paraId="0A7DE834" w14:textId="05578B49" w:rsidR="00D37EB6" w:rsidRPr="00012467" w:rsidRDefault="00314C16">
          <w:pPr>
            <w:pStyle w:val="TOC3"/>
            <w:tabs>
              <w:tab w:val="right" w:leader="dot" w:pos="9016"/>
            </w:tabs>
            <w:rPr>
              <w:rFonts w:ascii="Inter" w:eastAsiaTheme="minorEastAsia" w:hAnsi="Inter"/>
              <w:noProof/>
              <w:lang w:eastAsia="en-GB"/>
            </w:rPr>
          </w:pPr>
          <w:hyperlink w:anchor="_Toc126840569" w:history="1">
            <w:r w:rsidR="00D37EB6" w:rsidRPr="00012467">
              <w:rPr>
                <w:rStyle w:val="Hyperlink"/>
                <w:rFonts w:ascii="Inter" w:hAnsi="Inter"/>
                <w:bCs/>
                <w:noProof/>
              </w:rPr>
              <w:t>EDD Measures - Understanding a clients Source of Wealth (SoW)</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_Toc126840569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13</w:t>
            </w:r>
            <w:r w:rsidR="00D37EB6" w:rsidRPr="00012467">
              <w:rPr>
                <w:rFonts w:ascii="Inter" w:hAnsi="Inter"/>
                <w:noProof/>
                <w:webHidden/>
              </w:rPr>
              <w:fldChar w:fldCharType="end"/>
            </w:r>
          </w:hyperlink>
        </w:p>
        <w:p w14:paraId="1B41BAD4" w14:textId="7E30D87A" w:rsidR="00D37EB6" w:rsidRPr="00012467" w:rsidRDefault="00314C16">
          <w:pPr>
            <w:pStyle w:val="TOC1"/>
            <w:rPr>
              <w:rFonts w:ascii="Inter" w:eastAsiaTheme="minorEastAsia" w:hAnsi="Inter"/>
              <w:noProof/>
              <w:lang w:eastAsia="en-GB"/>
            </w:rPr>
          </w:pPr>
          <w:hyperlink w:anchor="_Toc126840570" w:history="1">
            <w:r w:rsidR="00D37EB6" w:rsidRPr="00012467">
              <w:rPr>
                <w:rStyle w:val="Hyperlink"/>
                <w:rFonts w:ascii="Inter" w:hAnsi="Inter" w:cstheme="minorHAnsi"/>
                <w:bCs/>
                <w:noProof/>
              </w:rPr>
              <w:t>Politically Exposed Persons (PEP’s)</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_Toc126840570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13</w:t>
            </w:r>
            <w:r w:rsidR="00D37EB6" w:rsidRPr="00012467">
              <w:rPr>
                <w:rFonts w:ascii="Inter" w:hAnsi="Inter"/>
                <w:noProof/>
                <w:webHidden/>
              </w:rPr>
              <w:fldChar w:fldCharType="end"/>
            </w:r>
          </w:hyperlink>
        </w:p>
        <w:p w14:paraId="43A929BD" w14:textId="64FCF210" w:rsidR="00D37EB6" w:rsidRPr="00012467" w:rsidRDefault="00314C16">
          <w:pPr>
            <w:pStyle w:val="TOC2"/>
            <w:rPr>
              <w:rFonts w:ascii="Inter" w:eastAsiaTheme="minorEastAsia" w:hAnsi="Inter"/>
              <w:noProof/>
              <w:lang w:eastAsia="en-GB"/>
            </w:rPr>
          </w:pPr>
          <w:hyperlink w:anchor="_Toc126840571" w:history="1">
            <w:r w:rsidR="00D37EB6" w:rsidRPr="00012467">
              <w:rPr>
                <w:rStyle w:val="Hyperlink"/>
                <w:rFonts w:ascii="Inter" w:hAnsi="Inter" w:cstheme="majorHAnsi"/>
                <w:noProof/>
              </w:rPr>
              <w:t>Who is a PEP?</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_Toc126840571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14</w:t>
            </w:r>
            <w:r w:rsidR="00D37EB6" w:rsidRPr="00012467">
              <w:rPr>
                <w:rFonts w:ascii="Inter" w:hAnsi="Inter"/>
                <w:noProof/>
                <w:webHidden/>
              </w:rPr>
              <w:fldChar w:fldCharType="end"/>
            </w:r>
          </w:hyperlink>
        </w:p>
        <w:p w14:paraId="4BB2FF84" w14:textId="4F1EE5DC" w:rsidR="00D37EB6" w:rsidRPr="00012467" w:rsidRDefault="00314C16">
          <w:pPr>
            <w:pStyle w:val="TOC2"/>
            <w:rPr>
              <w:rFonts w:ascii="Inter" w:eastAsiaTheme="minorEastAsia" w:hAnsi="Inter"/>
              <w:noProof/>
              <w:lang w:eastAsia="en-GB"/>
            </w:rPr>
          </w:pPr>
          <w:hyperlink w:anchor="_Toc126840572" w:history="1">
            <w:r w:rsidR="00D37EB6" w:rsidRPr="00012467">
              <w:rPr>
                <w:rStyle w:val="Hyperlink"/>
                <w:rFonts w:ascii="Inter" w:hAnsi="Inter" w:cstheme="majorHAnsi"/>
                <w:noProof/>
              </w:rPr>
              <w:t>Identifying a PEP</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_Toc126840572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14</w:t>
            </w:r>
            <w:r w:rsidR="00D37EB6" w:rsidRPr="00012467">
              <w:rPr>
                <w:rFonts w:ascii="Inter" w:hAnsi="Inter"/>
                <w:noProof/>
                <w:webHidden/>
              </w:rPr>
              <w:fldChar w:fldCharType="end"/>
            </w:r>
          </w:hyperlink>
        </w:p>
        <w:p w14:paraId="2D014C36" w14:textId="109AEADA" w:rsidR="00D37EB6" w:rsidRPr="00012467" w:rsidRDefault="00314C16">
          <w:pPr>
            <w:pStyle w:val="TOC1"/>
            <w:rPr>
              <w:rFonts w:ascii="Inter" w:eastAsiaTheme="minorEastAsia" w:hAnsi="Inter"/>
              <w:noProof/>
              <w:lang w:eastAsia="en-GB"/>
            </w:rPr>
          </w:pPr>
          <w:hyperlink w:anchor="_Toc126840573" w:history="1">
            <w:r w:rsidR="00D37EB6" w:rsidRPr="00012467">
              <w:rPr>
                <w:rStyle w:val="Hyperlink"/>
                <w:rFonts w:ascii="Inter" w:hAnsi="Inter" w:cstheme="minorHAnsi"/>
                <w:bCs/>
                <w:noProof/>
              </w:rPr>
              <w:t>Suspicious Activity Reporting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_Toc126840573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16</w:t>
            </w:r>
            <w:r w:rsidR="00D37EB6" w:rsidRPr="00012467">
              <w:rPr>
                <w:rFonts w:ascii="Inter" w:hAnsi="Inter"/>
                <w:noProof/>
                <w:webHidden/>
              </w:rPr>
              <w:fldChar w:fldCharType="end"/>
            </w:r>
          </w:hyperlink>
        </w:p>
        <w:p w14:paraId="25D5849E" w14:textId="366F2758" w:rsidR="00D37EB6" w:rsidRPr="00012467" w:rsidRDefault="00314C16">
          <w:pPr>
            <w:pStyle w:val="TOC2"/>
            <w:rPr>
              <w:rFonts w:ascii="Inter" w:eastAsiaTheme="minorEastAsia" w:hAnsi="Inter"/>
              <w:noProof/>
              <w:lang w:eastAsia="en-GB"/>
            </w:rPr>
          </w:pPr>
          <w:hyperlink w:anchor="_Toc126840574" w:history="1">
            <w:r w:rsidR="00D37EB6" w:rsidRPr="00012467">
              <w:rPr>
                <w:rStyle w:val="Hyperlink"/>
                <w:rFonts w:ascii="Inter" w:hAnsi="Inter" w:cstheme="majorHAnsi"/>
                <w:noProof/>
              </w:rPr>
              <w:t>Seeking consent/Defence against Money Laundering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_Toc126840574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16</w:t>
            </w:r>
            <w:r w:rsidR="00D37EB6" w:rsidRPr="00012467">
              <w:rPr>
                <w:rFonts w:ascii="Inter" w:hAnsi="Inter"/>
                <w:noProof/>
                <w:webHidden/>
              </w:rPr>
              <w:fldChar w:fldCharType="end"/>
            </w:r>
          </w:hyperlink>
        </w:p>
        <w:p w14:paraId="0B4D6271" w14:textId="372A3952" w:rsidR="00D37EB6" w:rsidRPr="00012467" w:rsidRDefault="00314C16">
          <w:pPr>
            <w:pStyle w:val="TOC2"/>
            <w:rPr>
              <w:rFonts w:ascii="Inter" w:eastAsiaTheme="minorEastAsia" w:hAnsi="Inter"/>
              <w:noProof/>
              <w:lang w:eastAsia="en-GB"/>
            </w:rPr>
          </w:pPr>
          <w:hyperlink w:anchor="_Toc126840575" w:history="1">
            <w:r w:rsidR="00D37EB6" w:rsidRPr="00012467">
              <w:rPr>
                <w:rStyle w:val="Hyperlink"/>
                <w:rFonts w:ascii="Inter" w:hAnsi="Inter" w:cstheme="majorHAnsi"/>
                <w:noProof/>
              </w:rPr>
              <w:t>Tipping off</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_Toc126840575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17</w:t>
            </w:r>
            <w:r w:rsidR="00D37EB6" w:rsidRPr="00012467">
              <w:rPr>
                <w:rFonts w:ascii="Inter" w:hAnsi="Inter"/>
                <w:noProof/>
                <w:webHidden/>
              </w:rPr>
              <w:fldChar w:fldCharType="end"/>
            </w:r>
          </w:hyperlink>
        </w:p>
        <w:p w14:paraId="32C62FA4" w14:textId="2FF9BE14" w:rsidR="00D37EB6" w:rsidRPr="00012467" w:rsidRDefault="00314C16">
          <w:pPr>
            <w:pStyle w:val="TOC1"/>
            <w:rPr>
              <w:rFonts w:ascii="Inter" w:eastAsiaTheme="minorEastAsia" w:hAnsi="Inter"/>
              <w:noProof/>
              <w:lang w:eastAsia="en-GB"/>
            </w:rPr>
          </w:pPr>
          <w:hyperlink w:anchor="_Toc126840576" w:history="1">
            <w:r w:rsidR="00D37EB6" w:rsidRPr="00012467">
              <w:rPr>
                <w:rStyle w:val="Hyperlink"/>
                <w:rFonts w:ascii="Inter" w:hAnsi="Inter" w:cstheme="minorHAnsi"/>
                <w:noProof/>
              </w:rPr>
              <w:t>Technology</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_Toc126840576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17</w:t>
            </w:r>
            <w:r w:rsidR="00D37EB6" w:rsidRPr="00012467">
              <w:rPr>
                <w:rFonts w:ascii="Inter" w:hAnsi="Inter"/>
                <w:noProof/>
                <w:webHidden/>
              </w:rPr>
              <w:fldChar w:fldCharType="end"/>
            </w:r>
          </w:hyperlink>
        </w:p>
        <w:p w14:paraId="781E6EF5" w14:textId="15B2FF86" w:rsidR="00D37EB6" w:rsidRPr="00012467" w:rsidRDefault="00314C16">
          <w:pPr>
            <w:pStyle w:val="TOC1"/>
            <w:rPr>
              <w:rFonts w:ascii="Inter" w:eastAsiaTheme="minorEastAsia" w:hAnsi="Inter"/>
              <w:noProof/>
              <w:lang w:eastAsia="en-GB"/>
            </w:rPr>
          </w:pPr>
          <w:hyperlink w:anchor="_Toc126840577" w:history="1">
            <w:r w:rsidR="00D37EB6" w:rsidRPr="00012467">
              <w:rPr>
                <w:rStyle w:val="Hyperlink"/>
                <w:rFonts w:ascii="Inter" w:hAnsi="Inter" w:cstheme="minorHAnsi"/>
                <w:noProof/>
              </w:rPr>
              <w:t>Training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_Toc126840577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18</w:t>
            </w:r>
            <w:r w:rsidR="00D37EB6" w:rsidRPr="00012467">
              <w:rPr>
                <w:rFonts w:ascii="Inter" w:hAnsi="Inter"/>
                <w:noProof/>
                <w:webHidden/>
              </w:rPr>
              <w:fldChar w:fldCharType="end"/>
            </w:r>
          </w:hyperlink>
        </w:p>
        <w:p w14:paraId="429398AD" w14:textId="43257E77" w:rsidR="00D37EB6" w:rsidRPr="00012467" w:rsidRDefault="00314C16">
          <w:pPr>
            <w:pStyle w:val="TOC2"/>
            <w:rPr>
              <w:rFonts w:ascii="Inter" w:eastAsiaTheme="minorEastAsia" w:hAnsi="Inter"/>
              <w:noProof/>
              <w:lang w:eastAsia="en-GB"/>
            </w:rPr>
          </w:pPr>
          <w:hyperlink w:anchor="_Toc126840578" w:history="1">
            <w:r w:rsidR="00D37EB6" w:rsidRPr="00012467">
              <w:rPr>
                <w:rStyle w:val="Hyperlink"/>
                <w:rFonts w:ascii="Inter" w:hAnsi="Inter" w:cstheme="majorHAnsi"/>
                <w:noProof/>
              </w:rPr>
              <w:t>What should be included in training?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_Toc126840578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18</w:t>
            </w:r>
            <w:r w:rsidR="00D37EB6" w:rsidRPr="00012467">
              <w:rPr>
                <w:rFonts w:ascii="Inter" w:hAnsi="Inter"/>
                <w:noProof/>
                <w:webHidden/>
              </w:rPr>
              <w:fldChar w:fldCharType="end"/>
            </w:r>
          </w:hyperlink>
        </w:p>
        <w:p w14:paraId="3354FF70" w14:textId="69B69B74" w:rsidR="00D37EB6" w:rsidRPr="00012467" w:rsidRDefault="00314C16">
          <w:pPr>
            <w:pStyle w:val="TOC1"/>
            <w:rPr>
              <w:rFonts w:ascii="Inter" w:eastAsiaTheme="minorEastAsia" w:hAnsi="Inter"/>
              <w:noProof/>
              <w:lang w:eastAsia="en-GB"/>
            </w:rPr>
          </w:pPr>
          <w:hyperlink w:anchor="_Toc126840579" w:history="1">
            <w:r w:rsidR="00D37EB6" w:rsidRPr="00012467">
              <w:rPr>
                <w:rStyle w:val="Hyperlink"/>
                <w:rFonts w:ascii="Inter" w:hAnsi="Inter" w:cstheme="minorHAnsi"/>
                <w:noProof/>
              </w:rPr>
              <w:t>Internal Controls &amp; Governance</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_Toc126840579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19</w:t>
            </w:r>
            <w:r w:rsidR="00D37EB6" w:rsidRPr="00012467">
              <w:rPr>
                <w:rFonts w:ascii="Inter" w:hAnsi="Inter"/>
                <w:noProof/>
                <w:webHidden/>
              </w:rPr>
              <w:fldChar w:fldCharType="end"/>
            </w:r>
          </w:hyperlink>
        </w:p>
        <w:p w14:paraId="5ED83651" w14:textId="6A6AB213" w:rsidR="00D37EB6" w:rsidRPr="00012467" w:rsidRDefault="00314C16">
          <w:pPr>
            <w:pStyle w:val="TOC1"/>
            <w:rPr>
              <w:rFonts w:ascii="Inter" w:eastAsiaTheme="minorEastAsia" w:hAnsi="Inter"/>
              <w:noProof/>
              <w:lang w:eastAsia="en-GB"/>
            </w:rPr>
          </w:pPr>
          <w:hyperlink w:anchor="_Toc126840580" w:history="1">
            <w:r w:rsidR="00D37EB6" w:rsidRPr="00012467">
              <w:rPr>
                <w:rStyle w:val="Hyperlink"/>
                <w:rFonts w:ascii="Inter" w:hAnsi="Inter" w:cstheme="minorHAnsi"/>
                <w:noProof/>
              </w:rPr>
              <w:t>Record keeping &amp; Data Protection</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_Toc126840580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19</w:t>
            </w:r>
            <w:r w:rsidR="00D37EB6" w:rsidRPr="00012467">
              <w:rPr>
                <w:rFonts w:ascii="Inter" w:hAnsi="Inter"/>
                <w:noProof/>
                <w:webHidden/>
              </w:rPr>
              <w:fldChar w:fldCharType="end"/>
            </w:r>
          </w:hyperlink>
        </w:p>
        <w:p w14:paraId="27A897F8" w14:textId="67E59AC2" w:rsidR="00D37EB6" w:rsidRPr="00012467" w:rsidRDefault="00314C16">
          <w:pPr>
            <w:pStyle w:val="TOC2"/>
            <w:rPr>
              <w:rFonts w:ascii="Inter" w:eastAsiaTheme="minorEastAsia" w:hAnsi="Inter"/>
              <w:noProof/>
              <w:lang w:eastAsia="en-GB"/>
            </w:rPr>
          </w:pPr>
          <w:hyperlink w:anchor="_Toc126840581" w:history="1">
            <w:r w:rsidR="00D37EB6" w:rsidRPr="00012467">
              <w:rPr>
                <w:rStyle w:val="Hyperlink"/>
                <w:rFonts w:ascii="Inter" w:hAnsi="Inter" w:cstheme="majorHAnsi"/>
                <w:noProof/>
              </w:rPr>
              <w:t>Retention Periods</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_Toc126840581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20</w:t>
            </w:r>
            <w:r w:rsidR="00D37EB6" w:rsidRPr="00012467">
              <w:rPr>
                <w:rFonts w:ascii="Inter" w:hAnsi="Inter"/>
                <w:noProof/>
                <w:webHidden/>
              </w:rPr>
              <w:fldChar w:fldCharType="end"/>
            </w:r>
          </w:hyperlink>
        </w:p>
        <w:p w14:paraId="09DAD712" w14:textId="32D7271C" w:rsidR="00D37EB6" w:rsidRPr="00012467" w:rsidRDefault="00314C16">
          <w:pPr>
            <w:pStyle w:val="TOC1"/>
            <w:rPr>
              <w:rFonts w:ascii="Inter" w:eastAsiaTheme="minorEastAsia" w:hAnsi="Inter"/>
              <w:noProof/>
              <w:lang w:eastAsia="en-GB"/>
            </w:rPr>
          </w:pPr>
          <w:hyperlink w:anchor="_Toc126840582" w:history="1">
            <w:r w:rsidR="00D37EB6" w:rsidRPr="00012467">
              <w:rPr>
                <w:rStyle w:val="Hyperlink"/>
                <w:rFonts w:ascii="Inter" w:hAnsi="Inter" w:cstheme="minorHAnsi"/>
                <w:noProof/>
              </w:rPr>
              <w:t>Proliferation</w:t>
            </w:r>
            <w:r w:rsidR="00D37EB6" w:rsidRPr="00012467">
              <w:rPr>
                <w:rStyle w:val="Hyperlink"/>
                <w:rFonts w:ascii="Inter" w:hAnsi="Inter"/>
                <w:noProof/>
              </w:rPr>
              <w:t xml:space="preserve"> </w:t>
            </w:r>
            <w:r w:rsidR="00D37EB6" w:rsidRPr="00012467">
              <w:rPr>
                <w:rStyle w:val="Hyperlink"/>
                <w:rFonts w:ascii="Inter" w:hAnsi="Inter" w:cstheme="minorHAnsi"/>
                <w:noProof/>
              </w:rPr>
              <w:t>Financing</w:t>
            </w:r>
            <w:r w:rsidR="00D37EB6" w:rsidRPr="00012467">
              <w:rPr>
                <w:rFonts w:ascii="Inter" w:hAnsi="Inter"/>
                <w:noProof/>
                <w:webHidden/>
              </w:rPr>
              <w:tab/>
            </w:r>
            <w:r w:rsidR="00D37EB6" w:rsidRPr="00012467">
              <w:rPr>
                <w:rFonts w:ascii="Inter" w:hAnsi="Inter"/>
                <w:noProof/>
                <w:webHidden/>
              </w:rPr>
              <w:fldChar w:fldCharType="begin"/>
            </w:r>
            <w:r w:rsidR="00D37EB6" w:rsidRPr="00012467">
              <w:rPr>
                <w:rFonts w:ascii="Inter" w:hAnsi="Inter"/>
                <w:noProof/>
                <w:webHidden/>
              </w:rPr>
              <w:instrText xml:space="preserve"> PAGEREF _Toc126840582 \h </w:instrText>
            </w:r>
            <w:r w:rsidR="00D37EB6" w:rsidRPr="00012467">
              <w:rPr>
                <w:rFonts w:ascii="Inter" w:hAnsi="Inter"/>
                <w:noProof/>
                <w:webHidden/>
              </w:rPr>
            </w:r>
            <w:r w:rsidR="00D37EB6" w:rsidRPr="00012467">
              <w:rPr>
                <w:rFonts w:ascii="Inter" w:hAnsi="Inter"/>
                <w:noProof/>
                <w:webHidden/>
              </w:rPr>
              <w:fldChar w:fldCharType="separate"/>
            </w:r>
            <w:r w:rsidR="00D2456A">
              <w:rPr>
                <w:rFonts w:ascii="Inter" w:hAnsi="Inter"/>
                <w:noProof/>
                <w:webHidden/>
              </w:rPr>
              <w:t>20</w:t>
            </w:r>
            <w:r w:rsidR="00D37EB6" w:rsidRPr="00012467">
              <w:rPr>
                <w:rFonts w:ascii="Inter" w:hAnsi="Inter"/>
                <w:noProof/>
                <w:webHidden/>
              </w:rPr>
              <w:fldChar w:fldCharType="end"/>
            </w:r>
          </w:hyperlink>
        </w:p>
        <w:p w14:paraId="1327042D" w14:textId="2B797614" w:rsidR="00DB40D8" w:rsidRPr="00012467" w:rsidRDefault="00DB40D8" w:rsidP="00556C39">
          <w:pPr>
            <w:spacing w:after="0" w:line="240" w:lineRule="auto"/>
            <w:rPr>
              <w:rFonts w:ascii="Inter" w:hAnsi="Inter" w:cstheme="minorHAnsi"/>
            </w:rPr>
          </w:pPr>
          <w:r w:rsidRPr="00012467">
            <w:rPr>
              <w:rFonts w:ascii="Inter" w:hAnsi="Inter" w:cstheme="minorHAnsi"/>
              <w:b/>
              <w:bCs/>
              <w:noProof/>
            </w:rPr>
            <w:fldChar w:fldCharType="end"/>
          </w:r>
        </w:p>
      </w:sdtContent>
    </w:sdt>
    <w:p w14:paraId="25DCB919" w14:textId="0B57CD61" w:rsidR="007657C1" w:rsidRPr="00012467" w:rsidRDefault="007657C1" w:rsidP="00F65226">
      <w:pPr>
        <w:spacing w:after="0" w:line="240" w:lineRule="auto"/>
        <w:rPr>
          <w:rFonts w:ascii="Inter" w:eastAsiaTheme="majorEastAsia" w:hAnsi="Inter" w:cstheme="majorBidi"/>
          <w:b/>
          <w:bCs/>
          <w:color w:val="2F5496" w:themeColor="accent1" w:themeShade="BF"/>
          <w:sz w:val="26"/>
          <w:szCs w:val="26"/>
          <w:u w:val="single"/>
        </w:rPr>
      </w:pPr>
    </w:p>
    <w:p w14:paraId="2B20A5B5" w14:textId="682CB618" w:rsidR="00AB6AAF" w:rsidRPr="00012467" w:rsidRDefault="00F13179" w:rsidP="00267D99">
      <w:pPr>
        <w:rPr>
          <w:rFonts w:ascii="Inter" w:hAnsi="Inter" w:cstheme="minorHAnsi"/>
          <w:b/>
          <w:sz w:val="32"/>
          <w:szCs w:val="32"/>
          <w:u w:val="single"/>
        </w:rPr>
      </w:pPr>
      <w:r w:rsidRPr="00012467">
        <w:rPr>
          <w:rFonts w:ascii="Inter" w:hAnsi="Inter" w:cstheme="minorHAnsi"/>
          <w:b/>
          <w:sz w:val="32"/>
          <w:szCs w:val="32"/>
          <w:u w:val="single"/>
        </w:rPr>
        <w:t>Useful information</w:t>
      </w:r>
      <w:r w:rsidR="00057D46" w:rsidRPr="00012467">
        <w:rPr>
          <w:rFonts w:ascii="Inter" w:hAnsi="Inter" w:cstheme="minorHAnsi"/>
          <w:b/>
          <w:sz w:val="32"/>
          <w:szCs w:val="32"/>
          <w:u w:val="single"/>
        </w:rPr>
        <w:t xml:space="preserve"> when using this template</w:t>
      </w:r>
      <w:r w:rsidRPr="00012467">
        <w:rPr>
          <w:rFonts w:ascii="Inter" w:hAnsi="Inter" w:cstheme="minorHAnsi"/>
          <w:b/>
          <w:sz w:val="32"/>
          <w:szCs w:val="32"/>
          <w:u w:val="single"/>
        </w:rPr>
        <w:t>:</w:t>
      </w:r>
    </w:p>
    <w:p w14:paraId="4B893868" w14:textId="1FAE11FA" w:rsidR="00F12F38" w:rsidRPr="00012467" w:rsidRDefault="00F12F38" w:rsidP="00000277">
      <w:pPr>
        <w:pStyle w:val="NoSpacing"/>
        <w:rPr>
          <w:rFonts w:ascii="Inter" w:hAnsi="Inter"/>
        </w:rPr>
      </w:pPr>
      <w:r w:rsidRPr="00012467">
        <w:rPr>
          <w:rFonts w:ascii="Inter" w:hAnsi="Inter"/>
        </w:rPr>
        <w:t xml:space="preserve">The </w:t>
      </w:r>
      <w:r w:rsidRPr="00012467">
        <w:rPr>
          <w:rFonts w:ascii="Inter" w:hAnsi="Inter"/>
          <w:b/>
          <w:bCs/>
          <w:u w:val="single"/>
        </w:rPr>
        <w:t>black text</w:t>
      </w:r>
      <w:r w:rsidRPr="00012467">
        <w:rPr>
          <w:rFonts w:ascii="Inter" w:hAnsi="Inter"/>
        </w:rPr>
        <w:t xml:space="preserve"> within this document is static and can remain as is</w:t>
      </w:r>
    </w:p>
    <w:p w14:paraId="14B411A8" w14:textId="77777777" w:rsidR="00F12F38" w:rsidRPr="00012467" w:rsidRDefault="00F12F38" w:rsidP="00000277">
      <w:pPr>
        <w:pStyle w:val="NoSpacing"/>
        <w:rPr>
          <w:rFonts w:ascii="Inter" w:hAnsi="Inter"/>
        </w:rPr>
      </w:pPr>
    </w:p>
    <w:p w14:paraId="0136E828" w14:textId="353A6A00" w:rsidR="00F13179" w:rsidRPr="00012467" w:rsidRDefault="0029746D" w:rsidP="00000277">
      <w:pPr>
        <w:pStyle w:val="NoSpacing"/>
        <w:rPr>
          <w:rFonts w:ascii="Inter" w:hAnsi="Inter"/>
        </w:rPr>
      </w:pPr>
      <w:r w:rsidRPr="00012467">
        <w:rPr>
          <w:rFonts w:ascii="Inter" w:hAnsi="Inter"/>
        </w:rPr>
        <w:t xml:space="preserve">The </w:t>
      </w:r>
      <w:r w:rsidRPr="00012467">
        <w:rPr>
          <w:rFonts w:ascii="Inter" w:hAnsi="Inter"/>
          <w:color w:val="FF0000"/>
          <w:u w:val="single"/>
        </w:rPr>
        <w:t>red text</w:t>
      </w:r>
      <w:r w:rsidRPr="00012467">
        <w:rPr>
          <w:rFonts w:ascii="Inter" w:hAnsi="Inter"/>
          <w:color w:val="FF0000"/>
        </w:rPr>
        <w:t xml:space="preserve"> </w:t>
      </w:r>
      <w:r w:rsidRPr="00012467">
        <w:rPr>
          <w:rFonts w:ascii="Inter" w:hAnsi="Inter"/>
        </w:rPr>
        <w:t>within this document</w:t>
      </w:r>
      <w:r w:rsidR="00F13179" w:rsidRPr="00012467">
        <w:rPr>
          <w:rFonts w:ascii="Inter" w:hAnsi="Inter"/>
        </w:rPr>
        <w:t xml:space="preserve"> </w:t>
      </w:r>
      <w:r w:rsidR="00DA1079" w:rsidRPr="00012467">
        <w:rPr>
          <w:rFonts w:ascii="Inter" w:hAnsi="Inter"/>
          <w:b/>
          <w:bCs/>
        </w:rPr>
        <w:t>must</w:t>
      </w:r>
      <w:r w:rsidR="00F13179" w:rsidRPr="00012467">
        <w:rPr>
          <w:rFonts w:ascii="Inter" w:hAnsi="Inter"/>
        </w:rPr>
        <w:t xml:space="preserve"> be </w:t>
      </w:r>
      <w:r w:rsidR="00DA1079" w:rsidRPr="00012467">
        <w:rPr>
          <w:rFonts w:ascii="Inter" w:hAnsi="Inter"/>
        </w:rPr>
        <w:t>changed</w:t>
      </w:r>
      <w:r w:rsidR="00F13179" w:rsidRPr="00012467">
        <w:rPr>
          <w:rFonts w:ascii="Inter" w:hAnsi="Inter"/>
        </w:rPr>
        <w:t xml:space="preserve"> </w:t>
      </w:r>
      <w:r w:rsidR="00DA1079" w:rsidRPr="00012467">
        <w:rPr>
          <w:rFonts w:ascii="Inter" w:hAnsi="Inter"/>
        </w:rPr>
        <w:t xml:space="preserve">to reflect the details of your Practice – </w:t>
      </w:r>
      <w:r w:rsidR="00E85D8F" w:rsidRPr="00012467">
        <w:rPr>
          <w:rFonts w:ascii="Inter" w:hAnsi="Inter"/>
        </w:rPr>
        <w:t>e.g.,</w:t>
      </w:r>
      <w:r w:rsidR="00DA1079" w:rsidRPr="00012467">
        <w:rPr>
          <w:rFonts w:ascii="Inter" w:hAnsi="Inter"/>
        </w:rPr>
        <w:t xml:space="preserve"> </w:t>
      </w:r>
      <w:r w:rsidR="00E85D8F" w:rsidRPr="00012467">
        <w:rPr>
          <w:rFonts w:ascii="Inter" w:hAnsi="Inter"/>
        </w:rPr>
        <w:t>p</w:t>
      </w:r>
      <w:r w:rsidR="00C05D5B" w:rsidRPr="00012467">
        <w:rPr>
          <w:rFonts w:ascii="Inter" w:hAnsi="Inter"/>
        </w:rPr>
        <w:t>ractice</w:t>
      </w:r>
      <w:r w:rsidR="00DA1079" w:rsidRPr="00012467">
        <w:rPr>
          <w:rFonts w:ascii="Inter" w:hAnsi="Inter"/>
        </w:rPr>
        <w:t xml:space="preserve"> name etc</w:t>
      </w:r>
      <w:r w:rsidR="00B53768" w:rsidRPr="00012467">
        <w:rPr>
          <w:rFonts w:ascii="Inter" w:hAnsi="Inter"/>
        </w:rPr>
        <w:t>.</w:t>
      </w:r>
    </w:p>
    <w:p w14:paraId="6C843466" w14:textId="77777777" w:rsidR="00257D2C" w:rsidRPr="00012467" w:rsidRDefault="00257D2C" w:rsidP="00000277">
      <w:pPr>
        <w:pStyle w:val="NoSpacing"/>
        <w:rPr>
          <w:rFonts w:ascii="Inter" w:hAnsi="Inter"/>
        </w:rPr>
      </w:pPr>
    </w:p>
    <w:p w14:paraId="06C417D5" w14:textId="7C080862" w:rsidR="00257D2C" w:rsidRPr="00012467" w:rsidRDefault="00257D2C" w:rsidP="00257D2C">
      <w:pPr>
        <w:pStyle w:val="NoSpacing"/>
        <w:rPr>
          <w:rFonts w:ascii="Inter" w:hAnsi="Inter" w:cstheme="minorHAnsi"/>
        </w:rPr>
      </w:pPr>
      <w:r w:rsidRPr="00012467">
        <w:rPr>
          <w:rFonts w:ascii="Inter" w:hAnsi="Inter"/>
        </w:rPr>
        <w:t xml:space="preserve">The </w:t>
      </w:r>
      <w:r w:rsidRPr="00012467">
        <w:rPr>
          <w:rFonts w:ascii="Inter" w:hAnsi="Inter"/>
          <w:color w:val="7030A0"/>
          <w:u w:val="single"/>
        </w:rPr>
        <w:t>purple text</w:t>
      </w:r>
      <w:r w:rsidR="00262A2C" w:rsidRPr="00012467">
        <w:rPr>
          <w:rFonts w:ascii="Inter" w:hAnsi="Inter"/>
          <w:color w:val="7030A0"/>
          <w:u w:val="single"/>
        </w:rPr>
        <w:t xml:space="preserve"> </w:t>
      </w:r>
      <w:r w:rsidR="00262A2C" w:rsidRPr="00012467">
        <w:rPr>
          <w:rFonts w:ascii="Inter" w:hAnsi="Inter"/>
        </w:rPr>
        <w:t xml:space="preserve">contains </w:t>
      </w:r>
      <w:r w:rsidR="00387022" w:rsidRPr="00012467">
        <w:rPr>
          <w:rFonts w:ascii="Inter" w:hAnsi="Inter"/>
        </w:rPr>
        <w:t xml:space="preserve">our </w:t>
      </w:r>
      <w:r w:rsidR="00262A2C" w:rsidRPr="00012467">
        <w:rPr>
          <w:rFonts w:ascii="Inter" w:hAnsi="Inter"/>
        </w:rPr>
        <w:t>guidance and considerations for your practice to consider and</w:t>
      </w:r>
      <w:r w:rsidRPr="00012467">
        <w:rPr>
          <w:rFonts w:ascii="Inter" w:hAnsi="Inter"/>
        </w:rPr>
        <w:t xml:space="preserve"> </w:t>
      </w:r>
      <w:r w:rsidR="000868F8" w:rsidRPr="00012467">
        <w:rPr>
          <w:rFonts w:ascii="Inter" w:hAnsi="Inter"/>
          <w:b/>
          <w:bCs/>
        </w:rPr>
        <w:t>must also</w:t>
      </w:r>
      <w:r w:rsidRPr="00012467">
        <w:rPr>
          <w:rFonts w:ascii="Inter" w:hAnsi="Inter"/>
        </w:rPr>
        <w:t xml:space="preserve"> be amended to fit with your Practices approach to each section. The practice must consider the</w:t>
      </w:r>
      <w:r w:rsidR="000868F8" w:rsidRPr="00012467">
        <w:rPr>
          <w:rFonts w:ascii="Inter" w:hAnsi="Inter"/>
        </w:rPr>
        <w:t>se</w:t>
      </w:r>
      <w:r w:rsidRPr="00012467">
        <w:rPr>
          <w:rFonts w:ascii="Inter" w:hAnsi="Inter"/>
        </w:rPr>
        <w:t xml:space="preserve"> questions and text and amend/</w:t>
      </w:r>
      <w:r w:rsidR="00C22788" w:rsidRPr="00012467">
        <w:rPr>
          <w:rFonts w:ascii="Inter" w:hAnsi="Inter"/>
        </w:rPr>
        <w:t>delete/</w:t>
      </w:r>
      <w:r w:rsidRPr="00012467">
        <w:rPr>
          <w:rFonts w:ascii="Inter" w:hAnsi="Inter"/>
        </w:rPr>
        <w:t xml:space="preserve">incorporate responses in line with the circumstances, </w:t>
      </w:r>
      <w:r w:rsidR="00E85D8F" w:rsidRPr="00012467">
        <w:rPr>
          <w:rFonts w:ascii="Inter" w:hAnsi="Inter"/>
        </w:rPr>
        <w:t>size,</w:t>
      </w:r>
      <w:r w:rsidRPr="00012467">
        <w:rPr>
          <w:rFonts w:ascii="Inter" w:hAnsi="Inter"/>
        </w:rPr>
        <w:t xml:space="preserve"> and nature of </w:t>
      </w:r>
      <w:r w:rsidR="00C22788" w:rsidRPr="00012467">
        <w:rPr>
          <w:rFonts w:ascii="Inter" w:hAnsi="Inter"/>
        </w:rPr>
        <w:t>your</w:t>
      </w:r>
      <w:r w:rsidRPr="00012467">
        <w:rPr>
          <w:rFonts w:ascii="Inter" w:hAnsi="Inter"/>
        </w:rPr>
        <w:t xml:space="preserve"> Practice.</w:t>
      </w:r>
    </w:p>
    <w:p w14:paraId="643E2773" w14:textId="2BD30B64" w:rsidR="00257D2C" w:rsidRPr="00012467" w:rsidRDefault="00257D2C" w:rsidP="00000277">
      <w:pPr>
        <w:pStyle w:val="NoSpacing"/>
        <w:rPr>
          <w:rFonts w:ascii="Inter" w:hAnsi="Inter"/>
        </w:rPr>
      </w:pPr>
    </w:p>
    <w:p w14:paraId="2E9F63BD" w14:textId="77777777" w:rsidR="003639F7" w:rsidRDefault="003639F7">
      <w:pPr>
        <w:spacing w:after="160" w:line="259" w:lineRule="auto"/>
        <w:rPr>
          <w:rFonts w:ascii="Inter" w:eastAsiaTheme="majorEastAsia" w:hAnsi="Inter" w:cstheme="minorHAnsi"/>
          <w:color w:val="2F5496" w:themeColor="accent1" w:themeShade="BF"/>
          <w:sz w:val="32"/>
          <w:szCs w:val="32"/>
          <w:u w:val="single"/>
        </w:rPr>
      </w:pPr>
      <w:bookmarkStart w:id="0" w:name="_Toc102546602"/>
      <w:bookmarkStart w:id="1" w:name="_Toc126840553"/>
      <w:r>
        <w:rPr>
          <w:rFonts w:ascii="Inter" w:hAnsi="Inter" w:cstheme="minorHAnsi"/>
          <w:u w:val="single"/>
        </w:rPr>
        <w:br w:type="page"/>
      </w:r>
    </w:p>
    <w:p w14:paraId="5EDE76CE" w14:textId="426EC599" w:rsidR="00AB6AAF" w:rsidRPr="00012467" w:rsidRDefault="00DB40D8" w:rsidP="00F65226">
      <w:pPr>
        <w:pStyle w:val="Heading1"/>
        <w:spacing w:before="0" w:line="240" w:lineRule="auto"/>
        <w:rPr>
          <w:rFonts w:ascii="Inter" w:hAnsi="Inter" w:cstheme="minorHAnsi"/>
          <w:sz w:val="18"/>
          <w:szCs w:val="18"/>
          <w:u w:val="single"/>
        </w:rPr>
      </w:pPr>
      <w:r w:rsidRPr="00012467">
        <w:rPr>
          <w:rFonts w:ascii="Inter" w:hAnsi="Inter" w:cstheme="minorHAnsi"/>
          <w:u w:val="single"/>
        </w:rPr>
        <w:lastRenderedPageBreak/>
        <w:t>O</w:t>
      </w:r>
      <w:r w:rsidR="00AB6AAF" w:rsidRPr="00012467">
        <w:rPr>
          <w:rFonts w:ascii="Inter" w:hAnsi="Inter" w:cstheme="minorHAnsi"/>
          <w:u w:val="single"/>
        </w:rPr>
        <w:t>verview</w:t>
      </w:r>
      <w:bookmarkEnd w:id="0"/>
      <w:bookmarkEnd w:id="1"/>
      <w:r w:rsidR="00E85D8F" w:rsidRPr="00012467">
        <w:rPr>
          <w:rFonts w:ascii="Inter" w:hAnsi="Inter" w:cstheme="minorHAnsi"/>
          <w:u w:val="single"/>
        </w:rPr>
        <w:br/>
      </w:r>
    </w:p>
    <w:p w14:paraId="1780AA29" w14:textId="0D980B79" w:rsidR="00AB6AAF" w:rsidRPr="00012467" w:rsidRDefault="00017BAE" w:rsidP="007D0BEC">
      <w:pPr>
        <w:pStyle w:val="NoSpacing"/>
        <w:rPr>
          <w:rFonts w:ascii="Inter" w:hAnsi="Inter" w:cstheme="minorHAnsi"/>
        </w:rPr>
      </w:pPr>
      <w:r w:rsidRPr="00012467">
        <w:rPr>
          <w:rFonts w:ascii="Inter" w:hAnsi="Inter" w:cstheme="minorHAnsi"/>
          <w:color w:val="FF0000"/>
        </w:rPr>
        <w:t>[</w:t>
      </w:r>
      <w:r w:rsidR="00622280" w:rsidRPr="00012467">
        <w:rPr>
          <w:rFonts w:ascii="Inter" w:hAnsi="Inter" w:cstheme="minorHAnsi"/>
          <w:color w:val="FF0000"/>
        </w:rPr>
        <w:t>PRACTICE</w:t>
      </w:r>
      <w:r w:rsidRPr="00012467">
        <w:rPr>
          <w:rFonts w:ascii="Inter" w:hAnsi="Inter" w:cstheme="minorHAnsi"/>
          <w:color w:val="FF0000"/>
        </w:rPr>
        <w:t xml:space="preserve"> NAME]</w:t>
      </w:r>
      <w:r w:rsidR="00AB6AAF" w:rsidRPr="00012467">
        <w:rPr>
          <w:rFonts w:ascii="Inter" w:hAnsi="Inter" w:cstheme="minorHAnsi"/>
          <w:color w:val="FF0000"/>
        </w:rPr>
        <w:t xml:space="preserve"> </w:t>
      </w:r>
      <w:r w:rsidR="00593FA5" w:rsidRPr="00012467">
        <w:rPr>
          <w:rFonts w:ascii="Inter" w:hAnsi="Inter" w:cstheme="minorHAnsi"/>
        </w:rPr>
        <w:t>have a strict legal and ethical obli</w:t>
      </w:r>
      <w:r w:rsidR="007818C7" w:rsidRPr="00012467">
        <w:rPr>
          <w:rFonts w:ascii="Inter" w:hAnsi="Inter" w:cstheme="minorHAnsi"/>
        </w:rPr>
        <w:t>gation not to be</w:t>
      </w:r>
      <w:r w:rsidR="00AB6AAF" w:rsidRPr="00012467">
        <w:rPr>
          <w:rFonts w:ascii="Inter" w:hAnsi="Inter" w:cstheme="minorHAnsi"/>
        </w:rPr>
        <w:t xml:space="preserve"> involved in illegal/illicit activity and will fully comply with all relevant sections of the Money Laundering Regulations 2017 (as amended), the Proceeds of Crime Act 2002 (POCA), the Terrorism Act 2000 (TACT) as well as the Legal Sector Affinity Group guidance (LSAG guidance).</w:t>
      </w:r>
    </w:p>
    <w:p w14:paraId="18F31FA3" w14:textId="77777777" w:rsidR="00F07395" w:rsidRPr="00012467" w:rsidRDefault="00F07395" w:rsidP="00F65226">
      <w:pPr>
        <w:pStyle w:val="NoSpacing"/>
        <w:rPr>
          <w:rFonts w:ascii="Inter" w:hAnsi="Inter" w:cstheme="minorHAnsi"/>
        </w:rPr>
      </w:pPr>
    </w:p>
    <w:p w14:paraId="3E0C9AE5" w14:textId="77777777" w:rsidR="00AB6AAF" w:rsidRPr="00012467" w:rsidRDefault="00314C16" w:rsidP="004A06CE">
      <w:pPr>
        <w:pStyle w:val="NoSpacing"/>
        <w:numPr>
          <w:ilvl w:val="0"/>
          <w:numId w:val="31"/>
        </w:numPr>
        <w:rPr>
          <w:rFonts w:ascii="Inter" w:hAnsi="Inter" w:cstheme="minorHAnsi"/>
          <w:color w:val="0070C0"/>
        </w:rPr>
      </w:pPr>
      <w:hyperlink r:id="rId11" w:history="1">
        <w:r w:rsidR="00AB6AAF" w:rsidRPr="00012467">
          <w:rPr>
            <w:rStyle w:val="Hyperlink"/>
            <w:rFonts w:ascii="Inter" w:hAnsi="Inter" w:cstheme="minorHAnsi"/>
            <w:color w:val="0070C0"/>
          </w:rPr>
          <w:t>The Money Laundering, Terrorist Financing and Transfer of Funds (Information on the Payer) Regulations 2017 (legislation.gov.uk)</w:t>
        </w:r>
      </w:hyperlink>
    </w:p>
    <w:p w14:paraId="049F1F48" w14:textId="047FF096" w:rsidR="00AB6AAF" w:rsidRPr="00012467" w:rsidRDefault="00314C16" w:rsidP="004A06CE">
      <w:pPr>
        <w:pStyle w:val="NoSpacing"/>
        <w:numPr>
          <w:ilvl w:val="0"/>
          <w:numId w:val="31"/>
        </w:numPr>
        <w:rPr>
          <w:rStyle w:val="Hyperlink"/>
          <w:rFonts w:ascii="Inter" w:hAnsi="Inter" w:cstheme="minorHAnsi"/>
          <w:color w:val="0070C0"/>
          <w:u w:val="none"/>
        </w:rPr>
      </w:pPr>
      <w:hyperlink r:id="rId12" w:history="1">
        <w:r w:rsidR="00AB6AAF" w:rsidRPr="00012467">
          <w:rPr>
            <w:rStyle w:val="Hyperlink"/>
            <w:rFonts w:ascii="Inter" w:hAnsi="Inter" w:cstheme="minorHAnsi"/>
            <w:color w:val="0070C0"/>
          </w:rPr>
          <w:t>Proceeds of Crime Act 2002 (legislation.gov.uk)</w:t>
        </w:r>
      </w:hyperlink>
    </w:p>
    <w:p w14:paraId="3B3D4B9C" w14:textId="49E6B330" w:rsidR="004E2E7C" w:rsidRPr="00012467" w:rsidRDefault="00314C16" w:rsidP="004A06CE">
      <w:pPr>
        <w:pStyle w:val="NoSpacing"/>
        <w:numPr>
          <w:ilvl w:val="0"/>
          <w:numId w:val="31"/>
        </w:numPr>
        <w:rPr>
          <w:rFonts w:ascii="Inter" w:hAnsi="Inter" w:cstheme="minorHAnsi"/>
          <w:color w:val="0070C0"/>
        </w:rPr>
      </w:pPr>
      <w:hyperlink r:id="rId13" w:history="1">
        <w:r w:rsidR="004E2E7C" w:rsidRPr="00012467">
          <w:rPr>
            <w:rStyle w:val="Hyperlink"/>
            <w:rFonts w:ascii="Inter" w:hAnsi="Inter"/>
            <w:color w:val="0070C0"/>
          </w:rPr>
          <w:t>Terrorism Act 2000 (legislation.gov.uk)</w:t>
        </w:r>
      </w:hyperlink>
    </w:p>
    <w:p w14:paraId="1C834FED" w14:textId="0D8C59F6" w:rsidR="00C22788" w:rsidRPr="00247CBE" w:rsidRDefault="00314C16" w:rsidP="00012047">
      <w:pPr>
        <w:pStyle w:val="NoSpacing"/>
        <w:numPr>
          <w:ilvl w:val="0"/>
          <w:numId w:val="31"/>
        </w:numPr>
        <w:rPr>
          <w:rFonts w:ascii="Inter" w:hAnsi="Inter" w:cstheme="minorHAnsi"/>
          <w:color w:val="0070C0"/>
        </w:rPr>
      </w:pPr>
      <w:hyperlink r:id="rId14" w:history="1">
        <w:r w:rsidR="00283477">
          <w:rPr>
            <w:rStyle w:val="Hyperlink"/>
            <w:rFonts w:ascii="Inter" w:hAnsi="Inter"/>
          </w:rPr>
          <w:t>Lsag-aml-guidance-for-the-legal-sector-220323-14.pdf (lawscot.org.uk)</w:t>
        </w:r>
      </w:hyperlink>
    </w:p>
    <w:p w14:paraId="1698A52D" w14:textId="32720379" w:rsidR="00247CBE" w:rsidRPr="00012047" w:rsidRDefault="00314C16" w:rsidP="00012047">
      <w:pPr>
        <w:pStyle w:val="NoSpacing"/>
        <w:numPr>
          <w:ilvl w:val="0"/>
          <w:numId w:val="31"/>
        </w:numPr>
        <w:rPr>
          <w:rFonts w:ascii="Inter" w:hAnsi="Inter" w:cstheme="minorHAnsi"/>
          <w:color w:val="0070C0"/>
        </w:rPr>
      </w:pPr>
      <w:hyperlink r:id="rId15" w:history="1">
        <w:r w:rsidR="00283477">
          <w:rPr>
            <w:rStyle w:val="Hyperlink"/>
            <w:rFonts w:ascii="Inter" w:hAnsi="Inter" w:cstheme="minorHAnsi"/>
          </w:rPr>
          <w:t>Addendum-to-the-lsag-guidance-21-november-2023.pdf (lawscot.org.uk)</w:t>
        </w:r>
      </w:hyperlink>
    </w:p>
    <w:p w14:paraId="44A64290" w14:textId="77777777" w:rsidR="00012047" w:rsidRPr="00012467" w:rsidRDefault="00012047" w:rsidP="00012047">
      <w:pPr>
        <w:pStyle w:val="NoSpacing"/>
        <w:ind w:left="1080"/>
        <w:rPr>
          <w:rFonts w:ascii="Inter" w:hAnsi="Inter" w:cstheme="minorHAnsi"/>
          <w:color w:val="0070C0"/>
        </w:rPr>
      </w:pPr>
    </w:p>
    <w:p w14:paraId="6DB7C779" w14:textId="472FEAF1" w:rsidR="00C22788" w:rsidRPr="00012467" w:rsidRDefault="00C22788" w:rsidP="00C22788">
      <w:pPr>
        <w:pStyle w:val="NoSpacing"/>
        <w:rPr>
          <w:rFonts w:ascii="Inter" w:hAnsi="Inter" w:cstheme="minorHAnsi"/>
          <w:i/>
          <w:iCs/>
          <w:color w:val="7030A0"/>
        </w:rPr>
      </w:pPr>
      <w:r w:rsidRPr="00012467">
        <w:rPr>
          <w:rFonts w:ascii="Inter" w:hAnsi="Inter" w:cstheme="minorHAnsi"/>
          <w:i/>
          <w:iCs/>
          <w:color w:val="7030A0"/>
        </w:rPr>
        <w:t xml:space="preserve">Please note that the above is subject to change and it is your responsibility to ensure that your PCPs are amended/updated in line with any </w:t>
      </w:r>
      <w:r w:rsidR="006D4556" w:rsidRPr="00012467">
        <w:rPr>
          <w:rFonts w:ascii="Inter" w:hAnsi="Inter" w:cstheme="minorHAnsi"/>
          <w:i/>
          <w:iCs/>
          <w:color w:val="7030A0"/>
        </w:rPr>
        <w:t xml:space="preserve">legislative, </w:t>
      </w:r>
      <w:r w:rsidR="009D4FE1" w:rsidRPr="00012467">
        <w:rPr>
          <w:rFonts w:ascii="Inter" w:hAnsi="Inter" w:cstheme="minorHAnsi"/>
          <w:i/>
          <w:iCs/>
          <w:color w:val="7030A0"/>
        </w:rPr>
        <w:t>regulatory</w:t>
      </w:r>
      <w:r w:rsidR="006D4556" w:rsidRPr="00012467">
        <w:rPr>
          <w:rFonts w:ascii="Inter" w:hAnsi="Inter" w:cstheme="minorHAnsi"/>
          <w:i/>
          <w:iCs/>
          <w:color w:val="7030A0"/>
        </w:rPr>
        <w:t xml:space="preserve"> or supervisory-related</w:t>
      </w:r>
      <w:r w:rsidRPr="00012467">
        <w:rPr>
          <w:rFonts w:ascii="Inter" w:hAnsi="Inter" w:cstheme="minorHAnsi"/>
          <w:i/>
          <w:iCs/>
          <w:color w:val="7030A0"/>
        </w:rPr>
        <w:t xml:space="preserve"> </w:t>
      </w:r>
      <w:r w:rsidR="00365998" w:rsidRPr="00012467">
        <w:rPr>
          <w:rFonts w:ascii="Inter" w:hAnsi="Inter" w:cstheme="minorHAnsi"/>
          <w:i/>
          <w:iCs/>
          <w:color w:val="7030A0"/>
        </w:rPr>
        <w:t>changes.</w:t>
      </w:r>
      <w:r w:rsidRPr="00012467">
        <w:rPr>
          <w:rFonts w:ascii="Inter" w:hAnsi="Inter" w:cstheme="minorHAnsi"/>
          <w:i/>
          <w:iCs/>
          <w:color w:val="7030A0"/>
        </w:rPr>
        <w:t xml:space="preserve"> </w:t>
      </w:r>
    </w:p>
    <w:p w14:paraId="415E7674" w14:textId="77777777" w:rsidR="00E371F5" w:rsidRPr="00012467" w:rsidRDefault="00E371F5" w:rsidP="007D0BEC">
      <w:pPr>
        <w:pStyle w:val="NoSpacing"/>
        <w:rPr>
          <w:rFonts w:ascii="Inter" w:hAnsi="Inter" w:cstheme="minorHAnsi"/>
        </w:rPr>
      </w:pPr>
    </w:p>
    <w:p w14:paraId="1B2F507F" w14:textId="0B314984" w:rsidR="007D0BEC" w:rsidRPr="00012467" w:rsidRDefault="007D0BEC" w:rsidP="007D0BEC">
      <w:pPr>
        <w:pStyle w:val="NoSpacing"/>
        <w:rPr>
          <w:rFonts w:ascii="Inter" w:hAnsi="Inter" w:cstheme="minorHAnsi"/>
        </w:rPr>
      </w:pPr>
      <w:r w:rsidRPr="00012467">
        <w:rPr>
          <w:rFonts w:ascii="Inter" w:hAnsi="Inter" w:cstheme="minorHAnsi"/>
        </w:rPr>
        <w:t xml:space="preserve">All partners and employees of the </w:t>
      </w:r>
      <w:r w:rsidR="00E371F5" w:rsidRPr="00012467">
        <w:rPr>
          <w:rFonts w:ascii="Inter" w:hAnsi="Inter" w:cstheme="minorHAnsi"/>
        </w:rPr>
        <w:t>practice</w:t>
      </w:r>
      <w:r w:rsidRPr="00012467">
        <w:rPr>
          <w:rFonts w:ascii="Inter" w:hAnsi="Inter" w:cstheme="minorHAnsi"/>
        </w:rPr>
        <w:t xml:space="preserve"> are under an obligation and duty to comply with the above.</w:t>
      </w:r>
    </w:p>
    <w:p w14:paraId="7CDE102A" w14:textId="77777777" w:rsidR="00881CCA" w:rsidRPr="00012467" w:rsidRDefault="00881CCA" w:rsidP="00F65226">
      <w:pPr>
        <w:pStyle w:val="NoSpacing"/>
        <w:rPr>
          <w:rFonts w:ascii="Inter" w:hAnsi="Inter" w:cstheme="minorHAnsi"/>
        </w:rPr>
      </w:pPr>
    </w:p>
    <w:p w14:paraId="20E5603F" w14:textId="6865FE82" w:rsidR="007D0BEC" w:rsidRPr="00012467" w:rsidRDefault="007D0BEC" w:rsidP="007D0BEC">
      <w:pPr>
        <w:pStyle w:val="NoSpacing"/>
        <w:rPr>
          <w:rFonts w:ascii="Inter" w:hAnsi="Inter" w:cstheme="minorHAnsi"/>
        </w:rPr>
      </w:pPr>
      <w:r w:rsidRPr="00012467">
        <w:rPr>
          <w:rFonts w:ascii="Inter" w:hAnsi="Inter" w:cstheme="minorHAnsi"/>
        </w:rPr>
        <w:t xml:space="preserve">This policy and any related procedures </w:t>
      </w:r>
      <w:r w:rsidR="0037440E" w:rsidRPr="00012467">
        <w:rPr>
          <w:rFonts w:ascii="Inter" w:hAnsi="Inter" w:cstheme="minorHAnsi"/>
        </w:rPr>
        <w:t>aim</w:t>
      </w:r>
      <w:r w:rsidRPr="00012467">
        <w:rPr>
          <w:rFonts w:ascii="Inter" w:hAnsi="Inter" w:cstheme="minorHAnsi"/>
        </w:rPr>
        <w:t xml:space="preserve"> to help partners and staff fulfil these responsibilities, by providing a clear framework, along with setting out the </w:t>
      </w:r>
      <w:r w:rsidR="00B537D2" w:rsidRPr="00012467">
        <w:rPr>
          <w:rFonts w:ascii="Inter" w:hAnsi="Inter" w:cstheme="minorHAnsi"/>
        </w:rPr>
        <w:t xml:space="preserve">practices </w:t>
      </w:r>
      <w:r w:rsidRPr="00012467">
        <w:rPr>
          <w:rFonts w:ascii="Inter" w:hAnsi="Inter" w:cstheme="minorHAnsi"/>
        </w:rPr>
        <w:t>key principles and obligations.</w:t>
      </w:r>
    </w:p>
    <w:p w14:paraId="20849ADE" w14:textId="77777777" w:rsidR="00881CCA" w:rsidRPr="00012467" w:rsidRDefault="00881CCA" w:rsidP="00F65226">
      <w:pPr>
        <w:pStyle w:val="NoSpacing"/>
        <w:rPr>
          <w:rFonts w:ascii="Inter" w:hAnsi="Inter" w:cstheme="minorHAnsi"/>
        </w:rPr>
      </w:pPr>
    </w:p>
    <w:p w14:paraId="07E93BCA" w14:textId="6A685A43" w:rsidR="007D0BEC" w:rsidRPr="00012467" w:rsidRDefault="007D0BEC" w:rsidP="007D0BEC">
      <w:pPr>
        <w:pStyle w:val="NoSpacing"/>
        <w:rPr>
          <w:rFonts w:ascii="Inter" w:hAnsi="Inter" w:cstheme="minorHAnsi"/>
        </w:rPr>
      </w:pPr>
      <w:r w:rsidRPr="00012467">
        <w:rPr>
          <w:rFonts w:ascii="Inter" w:hAnsi="Inter" w:cstheme="minorHAnsi"/>
        </w:rPr>
        <w:t xml:space="preserve">All staff are encouraged to report to the </w:t>
      </w:r>
      <w:r w:rsidR="00B537D2" w:rsidRPr="00012467">
        <w:rPr>
          <w:rFonts w:ascii="Inter" w:hAnsi="Inter" w:cstheme="minorHAnsi"/>
        </w:rPr>
        <w:t xml:space="preserve">practices </w:t>
      </w:r>
      <w:r w:rsidRPr="00012467">
        <w:rPr>
          <w:rFonts w:ascii="Inter" w:hAnsi="Inter" w:cstheme="minorHAnsi"/>
        </w:rPr>
        <w:t xml:space="preserve">MLRO any action or inaction which they suspect may represent a breach of these policies or involve an attempt to launder money through the </w:t>
      </w:r>
      <w:r w:rsidR="00D1347F" w:rsidRPr="00012467">
        <w:rPr>
          <w:rFonts w:ascii="Inter" w:hAnsi="Inter" w:cstheme="minorHAnsi"/>
        </w:rPr>
        <w:t>practice</w:t>
      </w:r>
      <w:r w:rsidRPr="00012467">
        <w:rPr>
          <w:rFonts w:ascii="Inter" w:hAnsi="Inter" w:cstheme="minorHAnsi"/>
        </w:rPr>
        <w:t>.</w:t>
      </w:r>
      <w:r w:rsidR="000868F8" w:rsidRPr="00012467">
        <w:rPr>
          <w:rFonts w:ascii="Inter" w:hAnsi="Inter" w:cstheme="minorHAnsi"/>
        </w:rPr>
        <w:t xml:space="preserve"> The MLRO has a duty to</w:t>
      </w:r>
      <w:r w:rsidR="00E85D8F" w:rsidRPr="00012467">
        <w:rPr>
          <w:rFonts w:ascii="Inter" w:hAnsi="Inter" w:cstheme="minorHAnsi"/>
        </w:rPr>
        <w:t xml:space="preserve"> disclose knowledge or suspicion, or reasonable grounds for suspicion, of money laundering to the National Crime Agency (the ‘NCA’). </w:t>
      </w:r>
    </w:p>
    <w:p w14:paraId="4C117231" w14:textId="77777777" w:rsidR="007D0BEC" w:rsidRPr="00012467" w:rsidRDefault="007D0BEC" w:rsidP="007D0BEC">
      <w:pPr>
        <w:pStyle w:val="NoSpacing"/>
        <w:rPr>
          <w:rFonts w:ascii="Inter" w:hAnsi="Inter" w:cstheme="minorHAnsi"/>
        </w:rPr>
      </w:pPr>
    </w:p>
    <w:p w14:paraId="1C062F8E" w14:textId="6CC10A1D" w:rsidR="00DA39EC" w:rsidRPr="00012467" w:rsidRDefault="007D0BEC" w:rsidP="00267D99">
      <w:pPr>
        <w:pStyle w:val="NoSpacing"/>
        <w:rPr>
          <w:rFonts w:ascii="Inter" w:hAnsi="Inter" w:cstheme="minorHAnsi"/>
        </w:rPr>
      </w:pPr>
      <w:r w:rsidRPr="00012467">
        <w:rPr>
          <w:rFonts w:ascii="Inter" w:hAnsi="Inter" w:cstheme="minorHAnsi"/>
        </w:rPr>
        <w:t>Failure to fulfil the responsibilities</w:t>
      </w:r>
      <w:r w:rsidR="000868F8" w:rsidRPr="00012467">
        <w:rPr>
          <w:rFonts w:ascii="Inter" w:hAnsi="Inter" w:cstheme="minorHAnsi"/>
        </w:rPr>
        <w:t xml:space="preserve"> as per this Policy</w:t>
      </w:r>
      <w:r w:rsidRPr="00012467">
        <w:rPr>
          <w:rFonts w:ascii="Inter" w:hAnsi="Inter" w:cstheme="minorHAnsi"/>
        </w:rPr>
        <w:t xml:space="preserve"> may result in disciplinary action and may also result in criminal sanctions for the staff involved. Breaches may also be reportable to our AML Supervisor (The Law Society of Scotland)</w:t>
      </w:r>
      <w:r w:rsidR="00DA39EC" w:rsidRPr="00012467">
        <w:rPr>
          <w:rFonts w:ascii="Inter" w:hAnsi="Inter" w:cstheme="minorHAnsi"/>
        </w:rPr>
        <w:t>. Further information on this can be found:</w:t>
      </w:r>
      <w:r w:rsidR="00E85D8F" w:rsidRPr="00012467">
        <w:rPr>
          <w:rFonts w:ascii="Inter" w:hAnsi="Inter" w:cstheme="minorHAnsi"/>
        </w:rPr>
        <w:br/>
      </w:r>
    </w:p>
    <w:p w14:paraId="1262F7E6" w14:textId="238A892A" w:rsidR="00DA39EC" w:rsidRPr="00012467" w:rsidRDefault="00314C16" w:rsidP="00A84D33">
      <w:pPr>
        <w:pStyle w:val="NoSpacing"/>
        <w:numPr>
          <w:ilvl w:val="0"/>
          <w:numId w:val="36"/>
        </w:numPr>
        <w:rPr>
          <w:rFonts w:ascii="Inter" w:hAnsi="Inter"/>
        </w:rPr>
      </w:pPr>
      <w:hyperlink r:id="rId16" w:history="1">
        <w:r w:rsidR="007676DC">
          <w:rPr>
            <w:rStyle w:val="Hyperlink"/>
            <w:rFonts w:ascii="Inter" w:hAnsi="Inter"/>
          </w:rPr>
          <w:t>LSAG-breach-reporting-note.docx (live.com)</w:t>
        </w:r>
      </w:hyperlink>
    </w:p>
    <w:p w14:paraId="620467A5" w14:textId="0C7C7939" w:rsidR="000868F8" w:rsidRPr="00012467" w:rsidRDefault="00314C16" w:rsidP="00387022">
      <w:pPr>
        <w:pStyle w:val="NoSpacing"/>
        <w:numPr>
          <w:ilvl w:val="0"/>
          <w:numId w:val="36"/>
        </w:numPr>
        <w:rPr>
          <w:rStyle w:val="Hyperlink"/>
          <w:rFonts w:ascii="Inter" w:hAnsi="Inter" w:cstheme="minorHAnsi"/>
          <w:color w:val="auto"/>
          <w:u w:val="none"/>
        </w:rPr>
      </w:pPr>
      <w:hyperlink r:id="rId17" w:history="1">
        <w:r w:rsidR="00DA39EC" w:rsidRPr="00012467">
          <w:rPr>
            <w:rStyle w:val="Hyperlink"/>
            <w:rFonts w:ascii="Inter" w:hAnsi="Inter"/>
          </w:rPr>
          <w:t>AML FAQs | Law Society of Scotland (lawscot.org.uk)</w:t>
        </w:r>
      </w:hyperlink>
    </w:p>
    <w:p w14:paraId="4BFA3697" w14:textId="77777777" w:rsidR="00ED08C9" w:rsidRPr="00012467" w:rsidRDefault="00ED08C9" w:rsidP="00ED08C9">
      <w:pPr>
        <w:pStyle w:val="NoSpacing"/>
        <w:rPr>
          <w:rStyle w:val="Hyperlink"/>
          <w:rFonts w:ascii="Inter" w:hAnsi="Inter"/>
        </w:rPr>
      </w:pPr>
    </w:p>
    <w:p w14:paraId="76BF6EC9" w14:textId="6A950C43" w:rsidR="00ED08C9" w:rsidRPr="00012467" w:rsidRDefault="000F5498" w:rsidP="00ED08C9">
      <w:pPr>
        <w:pStyle w:val="NoSpacing"/>
        <w:rPr>
          <w:rFonts w:ascii="Inter" w:hAnsi="Inter" w:cstheme="minorHAnsi"/>
          <w:color w:val="FF0000"/>
        </w:rPr>
      </w:pPr>
      <w:r w:rsidRPr="00012467">
        <w:rPr>
          <w:rFonts w:ascii="Inter" w:hAnsi="Inter"/>
        </w:rPr>
        <w:t xml:space="preserve">Where appropriate to the size and nature of the practice a member of the board (or equivalent) or of senior management must be appointed to be responsible for compliance of the practice with the Regulations. This position is referred to as the Money Laundering Compliance Officer (MLCO). </w:t>
      </w:r>
      <w:r w:rsidRPr="00012467">
        <w:rPr>
          <w:rFonts w:ascii="Inter" w:hAnsi="Inter" w:cstheme="minorHAnsi"/>
          <w:color w:val="FF0000"/>
        </w:rPr>
        <w:t>[PRACTICE NAME]</w:t>
      </w:r>
      <w:r w:rsidR="00A7713B" w:rsidRPr="00012467">
        <w:rPr>
          <w:rFonts w:ascii="Inter" w:hAnsi="Inter" w:cstheme="minorHAnsi"/>
          <w:color w:val="FF0000"/>
        </w:rPr>
        <w:t xml:space="preserve"> has considered this requirement and have made the decision to appoint XXXXXXX/not to appoint a MLCO for the following reasons:</w:t>
      </w:r>
    </w:p>
    <w:p w14:paraId="36542D42" w14:textId="77777777" w:rsidR="00A7713B" w:rsidRPr="00012467" w:rsidRDefault="00A7713B" w:rsidP="00ED08C9">
      <w:pPr>
        <w:pStyle w:val="NoSpacing"/>
        <w:rPr>
          <w:rFonts w:ascii="Inter" w:hAnsi="Inter" w:cstheme="minorHAnsi"/>
          <w:color w:val="FF0000"/>
        </w:rPr>
      </w:pPr>
    </w:p>
    <w:p w14:paraId="674DD7A7" w14:textId="337073DB" w:rsidR="00A7713B" w:rsidRDefault="00A7713B" w:rsidP="00D27145">
      <w:pPr>
        <w:pStyle w:val="NoSpacing"/>
        <w:numPr>
          <w:ilvl w:val="0"/>
          <w:numId w:val="40"/>
        </w:numPr>
        <w:rPr>
          <w:rFonts w:ascii="Inter" w:hAnsi="Inter" w:cstheme="minorHAnsi"/>
          <w:color w:val="7030A0"/>
        </w:rPr>
      </w:pPr>
    </w:p>
    <w:p w14:paraId="7F44F371" w14:textId="6BB5AB10" w:rsidR="00D27145" w:rsidRDefault="00D27145" w:rsidP="00D27145">
      <w:pPr>
        <w:pStyle w:val="NoSpacing"/>
        <w:numPr>
          <w:ilvl w:val="0"/>
          <w:numId w:val="40"/>
        </w:numPr>
        <w:rPr>
          <w:rFonts w:ascii="Inter" w:hAnsi="Inter" w:cstheme="minorHAnsi"/>
          <w:color w:val="7030A0"/>
        </w:rPr>
      </w:pPr>
    </w:p>
    <w:p w14:paraId="19AC1A09" w14:textId="24805E7D" w:rsidR="00D27145" w:rsidRPr="00012467" w:rsidRDefault="00D27145" w:rsidP="00D27145">
      <w:pPr>
        <w:pStyle w:val="NoSpacing"/>
        <w:numPr>
          <w:ilvl w:val="0"/>
          <w:numId w:val="40"/>
        </w:numPr>
        <w:rPr>
          <w:rFonts w:ascii="Inter" w:hAnsi="Inter" w:cstheme="minorHAnsi"/>
          <w:color w:val="7030A0"/>
        </w:rPr>
      </w:pPr>
    </w:p>
    <w:p w14:paraId="1A3A0F4C" w14:textId="77777777" w:rsidR="000868F8" w:rsidRPr="00012467" w:rsidRDefault="000868F8" w:rsidP="00267D99">
      <w:pPr>
        <w:pStyle w:val="NoSpacing"/>
        <w:rPr>
          <w:rFonts w:ascii="Inter" w:hAnsi="Inter" w:cstheme="minorHAnsi"/>
        </w:rPr>
      </w:pPr>
    </w:p>
    <w:p w14:paraId="6568A8D5" w14:textId="2FEF6195" w:rsidR="007D0BEC" w:rsidRPr="00012467" w:rsidRDefault="007D0BEC" w:rsidP="00267D99">
      <w:pPr>
        <w:pStyle w:val="NoSpacing"/>
        <w:rPr>
          <w:rFonts w:ascii="Inter" w:hAnsi="Inter" w:cstheme="minorHAnsi"/>
        </w:rPr>
      </w:pPr>
    </w:p>
    <w:p w14:paraId="1C01F8B5" w14:textId="478ED36E" w:rsidR="007D0BEC" w:rsidRPr="00012467" w:rsidRDefault="007D0BEC" w:rsidP="007D0BEC">
      <w:pPr>
        <w:pStyle w:val="NoSpacing"/>
        <w:rPr>
          <w:rFonts w:ascii="Inter" w:hAnsi="Inter" w:cstheme="minorHAnsi"/>
        </w:rPr>
      </w:pPr>
    </w:p>
    <w:p w14:paraId="00D7FF91" w14:textId="1FF39711" w:rsidR="00A37965" w:rsidRPr="00012467" w:rsidRDefault="003A4542" w:rsidP="0093575F">
      <w:pPr>
        <w:spacing w:after="0" w:line="240" w:lineRule="auto"/>
        <w:rPr>
          <w:rFonts w:ascii="Inter" w:hAnsi="Inter" w:cstheme="minorHAnsi"/>
          <w:sz w:val="20"/>
          <w:szCs w:val="20"/>
          <w:u w:val="single"/>
        </w:rPr>
      </w:pPr>
      <w:bookmarkStart w:id="2" w:name="_Toc126840554"/>
      <w:r w:rsidRPr="00012467">
        <w:rPr>
          <w:rFonts w:ascii="Inter" w:hAnsi="Inter" w:cstheme="minorHAnsi"/>
          <w:u w:val="single"/>
        </w:rPr>
        <w:t>Obligations</w:t>
      </w:r>
      <w:bookmarkEnd w:id="2"/>
      <w:r w:rsidR="00A37965" w:rsidRPr="00012467">
        <w:rPr>
          <w:rFonts w:ascii="Inter" w:hAnsi="Inter" w:cstheme="minorHAnsi"/>
          <w:u w:val="single"/>
        </w:rPr>
        <w:br/>
      </w:r>
    </w:p>
    <w:p w14:paraId="03BFEF60" w14:textId="135C3A1C" w:rsidR="003A4542" w:rsidRPr="00012467" w:rsidRDefault="00C05D5B" w:rsidP="009B291D">
      <w:pPr>
        <w:pStyle w:val="NoSpacing"/>
        <w:rPr>
          <w:rFonts w:ascii="Inter" w:hAnsi="Inter" w:cstheme="minorHAnsi"/>
          <w:color w:val="7030A0"/>
        </w:rPr>
      </w:pPr>
      <w:r w:rsidRPr="00012467">
        <w:rPr>
          <w:rFonts w:ascii="Inter" w:hAnsi="Inter" w:cstheme="minorHAnsi"/>
          <w:color w:val="7030A0"/>
        </w:rPr>
        <w:t>R.</w:t>
      </w:r>
      <w:r w:rsidR="00EF5D4E" w:rsidRPr="00012467">
        <w:rPr>
          <w:rFonts w:ascii="Inter" w:hAnsi="Inter" w:cstheme="minorHAnsi"/>
          <w:color w:val="7030A0"/>
        </w:rPr>
        <w:t>19</w:t>
      </w:r>
      <w:r w:rsidRPr="00012467">
        <w:rPr>
          <w:rFonts w:ascii="Inter" w:hAnsi="Inter" w:cstheme="minorHAnsi"/>
          <w:color w:val="7030A0"/>
        </w:rPr>
        <w:t>(3)</w:t>
      </w:r>
      <w:r w:rsidR="009B291D" w:rsidRPr="00012467">
        <w:rPr>
          <w:rFonts w:ascii="Inter" w:hAnsi="Inter" w:cstheme="minorHAnsi"/>
          <w:color w:val="7030A0"/>
        </w:rPr>
        <w:t xml:space="preserve"> state</w:t>
      </w:r>
      <w:r w:rsidR="00881CCA" w:rsidRPr="00012467">
        <w:rPr>
          <w:rFonts w:ascii="Inter" w:hAnsi="Inter" w:cstheme="minorHAnsi"/>
          <w:color w:val="7030A0"/>
        </w:rPr>
        <w:t>s</w:t>
      </w:r>
      <w:r w:rsidR="009B291D" w:rsidRPr="00012467">
        <w:rPr>
          <w:rFonts w:ascii="Inter" w:hAnsi="Inter" w:cstheme="minorHAnsi"/>
          <w:color w:val="7030A0"/>
        </w:rPr>
        <w:t xml:space="preserve"> that a Practices PCP’s </w:t>
      </w:r>
      <w:r w:rsidR="009B291D" w:rsidRPr="00012467">
        <w:rPr>
          <w:rFonts w:ascii="Inter" w:hAnsi="Inter" w:cstheme="minorHAnsi"/>
          <w:color w:val="7030A0"/>
          <w:u w:val="single"/>
        </w:rPr>
        <w:t>must</w:t>
      </w:r>
      <w:r w:rsidR="009B291D" w:rsidRPr="00012467">
        <w:rPr>
          <w:rFonts w:ascii="Inter" w:hAnsi="Inter" w:cstheme="minorHAnsi"/>
          <w:color w:val="7030A0"/>
        </w:rPr>
        <w:t xml:space="preserve"> include:</w:t>
      </w:r>
    </w:p>
    <w:p w14:paraId="2F676522" w14:textId="2C9F9AF3" w:rsidR="009B291D" w:rsidRPr="00012467" w:rsidRDefault="009B291D" w:rsidP="009B291D">
      <w:pPr>
        <w:pStyle w:val="NoSpacing"/>
        <w:rPr>
          <w:rFonts w:ascii="Inter" w:hAnsi="Inter" w:cstheme="minorHAnsi"/>
          <w:color w:val="7030A0"/>
        </w:rPr>
      </w:pPr>
    </w:p>
    <w:p w14:paraId="02082EB4" w14:textId="1183BC14" w:rsidR="009B291D" w:rsidRPr="00012467" w:rsidRDefault="009B291D" w:rsidP="004A06CE">
      <w:pPr>
        <w:pStyle w:val="NoSpacing"/>
        <w:numPr>
          <w:ilvl w:val="0"/>
          <w:numId w:val="1"/>
        </w:numPr>
        <w:rPr>
          <w:rFonts w:ascii="Inter" w:hAnsi="Inter" w:cstheme="minorHAnsi"/>
          <w:color w:val="7030A0"/>
        </w:rPr>
      </w:pPr>
      <w:r w:rsidRPr="00012467">
        <w:rPr>
          <w:rFonts w:ascii="Inter" w:hAnsi="Inter" w:cstheme="minorHAnsi"/>
          <w:color w:val="7030A0"/>
        </w:rPr>
        <w:t>Risk management practices (LSAG guidance</w:t>
      </w:r>
      <w:r w:rsidR="005A20B9" w:rsidRPr="00012467">
        <w:rPr>
          <w:rFonts w:ascii="Inter" w:hAnsi="Inter" w:cstheme="minorHAnsi"/>
          <w:color w:val="7030A0"/>
        </w:rPr>
        <w:t xml:space="preserve"> sections 5 and 6</w:t>
      </w:r>
      <w:r w:rsidRPr="00012467">
        <w:rPr>
          <w:rFonts w:ascii="Inter" w:hAnsi="Inter" w:cstheme="minorHAnsi"/>
          <w:color w:val="7030A0"/>
        </w:rPr>
        <w:t>)</w:t>
      </w:r>
    </w:p>
    <w:p w14:paraId="170C233A" w14:textId="478C6E79" w:rsidR="009B291D" w:rsidRPr="00012467" w:rsidRDefault="009B291D" w:rsidP="004A06CE">
      <w:pPr>
        <w:pStyle w:val="NoSpacing"/>
        <w:numPr>
          <w:ilvl w:val="0"/>
          <w:numId w:val="1"/>
        </w:numPr>
        <w:rPr>
          <w:rFonts w:ascii="Inter" w:hAnsi="Inter" w:cstheme="minorHAnsi"/>
          <w:color w:val="7030A0"/>
        </w:rPr>
      </w:pPr>
      <w:r w:rsidRPr="00012467">
        <w:rPr>
          <w:rFonts w:ascii="Inter" w:hAnsi="Inter" w:cstheme="minorHAnsi"/>
          <w:color w:val="7030A0"/>
        </w:rPr>
        <w:t>Internal controls (</w:t>
      </w:r>
      <w:r w:rsidR="005A20B9" w:rsidRPr="00012467">
        <w:rPr>
          <w:rFonts w:ascii="Inter" w:hAnsi="Inter" w:cstheme="minorHAnsi"/>
          <w:color w:val="7030A0"/>
        </w:rPr>
        <w:t>R</w:t>
      </w:r>
      <w:r w:rsidR="001D4EDC" w:rsidRPr="00012467">
        <w:rPr>
          <w:rFonts w:ascii="Inter" w:hAnsi="Inter" w:cstheme="minorHAnsi"/>
          <w:color w:val="7030A0"/>
        </w:rPr>
        <w:t>.21-24 and LSAG guidance</w:t>
      </w:r>
      <w:r w:rsidR="005A20B9" w:rsidRPr="00012467">
        <w:rPr>
          <w:rFonts w:ascii="Inter" w:hAnsi="Inter" w:cstheme="minorHAnsi"/>
          <w:color w:val="7030A0"/>
        </w:rPr>
        <w:t xml:space="preserve"> section 9</w:t>
      </w:r>
      <w:r w:rsidR="001D4EDC" w:rsidRPr="00012467">
        <w:rPr>
          <w:rFonts w:ascii="Inter" w:hAnsi="Inter" w:cstheme="minorHAnsi"/>
          <w:color w:val="7030A0"/>
        </w:rPr>
        <w:t>)</w:t>
      </w:r>
    </w:p>
    <w:p w14:paraId="098530C7" w14:textId="670E506B" w:rsidR="001D4EDC" w:rsidRPr="00012467" w:rsidRDefault="001D4EDC" w:rsidP="004A06CE">
      <w:pPr>
        <w:pStyle w:val="NoSpacing"/>
        <w:numPr>
          <w:ilvl w:val="0"/>
          <w:numId w:val="1"/>
        </w:numPr>
        <w:rPr>
          <w:rFonts w:ascii="Inter" w:hAnsi="Inter" w:cstheme="minorHAnsi"/>
          <w:color w:val="7030A0"/>
        </w:rPr>
      </w:pPr>
      <w:r w:rsidRPr="00012467">
        <w:rPr>
          <w:rFonts w:ascii="Inter" w:hAnsi="Inter" w:cstheme="minorHAnsi"/>
          <w:color w:val="7030A0"/>
        </w:rPr>
        <w:t xml:space="preserve">Customer Due Diligence (CDD) including the nature and extent of identification of checks to be done under simplified, </w:t>
      </w:r>
      <w:r w:rsidR="002079C5" w:rsidRPr="00012467">
        <w:rPr>
          <w:rFonts w:ascii="Inter" w:hAnsi="Inter" w:cstheme="minorHAnsi"/>
          <w:color w:val="7030A0"/>
        </w:rPr>
        <w:t>standard,</w:t>
      </w:r>
      <w:r w:rsidRPr="00012467">
        <w:rPr>
          <w:rFonts w:ascii="Inter" w:hAnsi="Inter" w:cstheme="minorHAnsi"/>
          <w:color w:val="7030A0"/>
        </w:rPr>
        <w:t xml:space="preserve"> and enhanced DD (</w:t>
      </w:r>
      <w:r w:rsidR="005A20B9" w:rsidRPr="00012467">
        <w:rPr>
          <w:rFonts w:ascii="Inter" w:hAnsi="Inter" w:cstheme="minorHAnsi"/>
          <w:color w:val="7030A0"/>
        </w:rPr>
        <w:t>R</w:t>
      </w:r>
      <w:r w:rsidRPr="00012467">
        <w:rPr>
          <w:rFonts w:ascii="Inter" w:hAnsi="Inter" w:cstheme="minorHAnsi"/>
          <w:color w:val="7030A0"/>
        </w:rPr>
        <w:t xml:space="preserve">.27-38 and </w:t>
      </w:r>
      <w:r w:rsidR="005A20B9" w:rsidRPr="00012467">
        <w:rPr>
          <w:rFonts w:ascii="Inter" w:hAnsi="Inter" w:cstheme="minorHAnsi"/>
          <w:color w:val="7030A0"/>
        </w:rPr>
        <w:t>LSAG guidance section 6</w:t>
      </w:r>
      <w:r w:rsidRPr="00012467">
        <w:rPr>
          <w:rFonts w:ascii="Inter" w:hAnsi="Inter" w:cstheme="minorHAnsi"/>
          <w:color w:val="7030A0"/>
        </w:rPr>
        <w:t>)</w:t>
      </w:r>
    </w:p>
    <w:p w14:paraId="5B078A9E" w14:textId="0E349E1E" w:rsidR="001D4EDC" w:rsidRPr="00012467" w:rsidRDefault="001D4EDC" w:rsidP="004A06CE">
      <w:pPr>
        <w:pStyle w:val="NoSpacing"/>
        <w:numPr>
          <w:ilvl w:val="0"/>
          <w:numId w:val="1"/>
        </w:numPr>
        <w:rPr>
          <w:rFonts w:ascii="Inter" w:hAnsi="Inter" w:cstheme="minorHAnsi"/>
          <w:color w:val="7030A0"/>
        </w:rPr>
      </w:pPr>
      <w:r w:rsidRPr="00012467">
        <w:rPr>
          <w:rFonts w:ascii="Inter" w:hAnsi="Inter" w:cstheme="minorHAnsi"/>
          <w:color w:val="7030A0"/>
        </w:rPr>
        <w:t>Reliance and Record keeping (</w:t>
      </w:r>
      <w:r w:rsidR="005A20B9" w:rsidRPr="00012467">
        <w:rPr>
          <w:rFonts w:ascii="Inter" w:hAnsi="Inter" w:cstheme="minorHAnsi"/>
          <w:color w:val="7030A0"/>
        </w:rPr>
        <w:t>R</w:t>
      </w:r>
      <w:r w:rsidRPr="00012467">
        <w:rPr>
          <w:rFonts w:ascii="Inter" w:hAnsi="Inter" w:cstheme="minorHAnsi"/>
          <w:color w:val="7030A0"/>
        </w:rPr>
        <w:t xml:space="preserve">.39-40 and LSAG </w:t>
      </w:r>
      <w:r w:rsidR="005A20B9" w:rsidRPr="00012467">
        <w:rPr>
          <w:rFonts w:ascii="Inter" w:hAnsi="Inter" w:cstheme="minorHAnsi"/>
          <w:color w:val="7030A0"/>
        </w:rPr>
        <w:t>guidance</w:t>
      </w:r>
      <w:r w:rsidRPr="00012467">
        <w:rPr>
          <w:rFonts w:ascii="Inter" w:hAnsi="Inter" w:cstheme="minorHAnsi"/>
          <w:color w:val="7030A0"/>
        </w:rPr>
        <w:t xml:space="preserve"> 6 and 10)</w:t>
      </w:r>
    </w:p>
    <w:p w14:paraId="01BD8F9E" w14:textId="082747A0" w:rsidR="001D4EDC" w:rsidRPr="00012467" w:rsidRDefault="001D4EDC" w:rsidP="004A06CE">
      <w:pPr>
        <w:pStyle w:val="NoSpacing"/>
        <w:numPr>
          <w:ilvl w:val="0"/>
          <w:numId w:val="1"/>
        </w:numPr>
        <w:rPr>
          <w:rFonts w:ascii="Inter" w:hAnsi="Inter" w:cstheme="minorHAnsi"/>
          <w:color w:val="7030A0"/>
        </w:rPr>
      </w:pPr>
      <w:r w:rsidRPr="00012467">
        <w:rPr>
          <w:rFonts w:ascii="Inter" w:hAnsi="Inter" w:cstheme="minorHAnsi"/>
          <w:color w:val="7030A0"/>
        </w:rPr>
        <w:t xml:space="preserve">The monitoring and compliance with, and the internal communication of the PCP’s (LSAG </w:t>
      </w:r>
      <w:r w:rsidR="005A20B9" w:rsidRPr="00012467">
        <w:rPr>
          <w:rFonts w:ascii="Inter" w:hAnsi="Inter" w:cstheme="minorHAnsi"/>
          <w:color w:val="7030A0"/>
        </w:rPr>
        <w:t>guidance sections</w:t>
      </w:r>
      <w:r w:rsidRPr="00012467">
        <w:rPr>
          <w:rFonts w:ascii="Inter" w:hAnsi="Inter" w:cstheme="minorHAnsi"/>
          <w:color w:val="7030A0"/>
        </w:rPr>
        <w:t xml:space="preserve"> 8 and 9)</w:t>
      </w:r>
    </w:p>
    <w:p w14:paraId="65F38CE8" w14:textId="4B717A92" w:rsidR="007B0259" w:rsidRPr="00012467" w:rsidRDefault="007B0259" w:rsidP="007B0259">
      <w:pPr>
        <w:pStyle w:val="NoSpacing"/>
        <w:rPr>
          <w:rFonts w:ascii="Inter" w:hAnsi="Inter" w:cstheme="minorHAnsi"/>
          <w:color w:val="7030A0"/>
        </w:rPr>
      </w:pPr>
    </w:p>
    <w:p w14:paraId="5B780828" w14:textId="1716033B" w:rsidR="007B0259" w:rsidRPr="00012467" w:rsidRDefault="007B0259" w:rsidP="007B0259">
      <w:pPr>
        <w:pStyle w:val="NoSpacing"/>
        <w:rPr>
          <w:rFonts w:ascii="Inter" w:hAnsi="Inter" w:cstheme="minorHAnsi"/>
          <w:color w:val="7030A0"/>
        </w:rPr>
      </w:pPr>
      <w:r w:rsidRPr="00012467">
        <w:rPr>
          <w:rFonts w:ascii="Inter" w:hAnsi="Inter" w:cstheme="minorHAnsi"/>
          <w:color w:val="7030A0"/>
        </w:rPr>
        <w:t xml:space="preserve">Please see LSAG guidance 4.8 for an overview of </w:t>
      </w:r>
      <w:r w:rsidR="000868F8" w:rsidRPr="00012467">
        <w:rPr>
          <w:rFonts w:ascii="Inter" w:hAnsi="Inter" w:cstheme="minorHAnsi"/>
          <w:color w:val="7030A0"/>
        </w:rPr>
        <w:t>other items which</w:t>
      </w:r>
      <w:r w:rsidRPr="00012467">
        <w:rPr>
          <w:rFonts w:ascii="Inter" w:hAnsi="Inter" w:cstheme="minorHAnsi"/>
          <w:color w:val="7030A0"/>
        </w:rPr>
        <w:t xml:space="preserve"> </w:t>
      </w:r>
      <w:r w:rsidRPr="00012467">
        <w:rPr>
          <w:rFonts w:ascii="Inter" w:hAnsi="Inter" w:cstheme="minorHAnsi"/>
          <w:color w:val="7030A0"/>
          <w:u w:val="single"/>
        </w:rPr>
        <w:t>must</w:t>
      </w:r>
      <w:r w:rsidRPr="00012467">
        <w:rPr>
          <w:rFonts w:ascii="Inter" w:hAnsi="Inter" w:cstheme="minorHAnsi"/>
          <w:color w:val="7030A0"/>
        </w:rPr>
        <w:t xml:space="preserve"> be </w:t>
      </w:r>
      <w:r w:rsidR="00600F04" w:rsidRPr="00012467">
        <w:rPr>
          <w:rFonts w:ascii="Inter" w:hAnsi="Inter" w:cstheme="minorHAnsi"/>
          <w:color w:val="7030A0"/>
        </w:rPr>
        <w:t>included</w:t>
      </w:r>
      <w:r w:rsidR="00600F04">
        <w:rPr>
          <w:rFonts w:ascii="Inter" w:hAnsi="Inter" w:cstheme="minorHAnsi"/>
          <w:color w:val="7030A0"/>
        </w:rPr>
        <w:t xml:space="preserve"> and ensure that the practical steps you as a practice will take are included</w:t>
      </w:r>
      <w:r w:rsidRPr="00012467">
        <w:rPr>
          <w:rFonts w:ascii="Inter" w:hAnsi="Inter" w:cstheme="minorHAnsi"/>
          <w:color w:val="7030A0"/>
        </w:rPr>
        <w:t>.</w:t>
      </w:r>
    </w:p>
    <w:p w14:paraId="15A7BBDB" w14:textId="77777777" w:rsidR="00AB6AAF" w:rsidRPr="00012467" w:rsidRDefault="00AB6AAF" w:rsidP="007D0BEC">
      <w:pPr>
        <w:pStyle w:val="NoSpacing"/>
        <w:rPr>
          <w:rFonts w:ascii="Inter" w:hAnsi="Inter" w:cstheme="minorHAnsi"/>
        </w:rPr>
      </w:pPr>
    </w:p>
    <w:p w14:paraId="29FFDCC1" w14:textId="51A1E670" w:rsidR="004C1B39" w:rsidRPr="00012467" w:rsidRDefault="001D4EDC" w:rsidP="00DB40D8">
      <w:pPr>
        <w:pStyle w:val="NoSpacing"/>
        <w:rPr>
          <w:rFonts w:ascii="Inter" w:hAnsi="Inter" w:cstheme="minorHAnsi"/>
        </w:rPr>
      </w:pPr>
      <w:r w:rsidRPr="00012467">
        <w:rPr>
          <w:rFonts w:ascii="Inter" w:hAnsi="Inter" w:cstheme="minorHAnsi"/>
        </w:rPr>
        <w:t>Key responsibilities of staff include (but are not limited to):</w:t>
      </w:r>
    </w:p>
    <w:p w14:paraId="4B123DB7" w14:textId="77777777" w:rsidR="00881CCA" w:rsidRPr="00012467" w:rsidRDefault="00881CCA" w:rsidP="00F65226">
      <w:pPr>
        <w:pStyle w:val="NoSpacing"/>
        <w:rPr>
          <w:rFonts w:ascii="Inter" w:hAnsi="Inter" w:cstheme="minorHAnsi"/>
        </w:rPr>
      </w:pPr>
    </w:p>
    <w:p w14:paraId="3466B10F" w14:textId="1E4333EF"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Conduct</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an adequate risk assessment and appropriate due diligence (CDD) on clients and transactions, including PEP and sanctions checking</w:t>
      </w:r>
    </w:p>
    <w:p w14:paraId="62A3586D" w14:textId="3DB04BFC"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Monitor</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all clients/transactions on an ongoing basis for potential money laundering or terrorist financing activity</w:t>
      </w:r>
    </w:p>
    <w:p w14:paraId="2F842E7B" w14:textId="7C062098"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Report</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any suspicious activity in respect of the client or transactions, to the MLRO in accordance with the </w:t>
      </w:r>
      <w:r w:rsidR="00B537D2" w:rsidRPr="00012467">
        <w:rPr>
          <w:rFonts w:ascii="Inter" w:eastAsiaTheme="minorHAnsi" w:hAnsi="Inter" w:cstheme="minorHAnsi"/>
          <w:sz w:val="22"/>
          <w:szCs w:val="22"/>
        </w:rPr>
        <w:t xml:space="preserve">practices </w:t>
      </w:r>
      <w:r w:rsidRPr="00012467">
        <w:rPr>
          <w:rFonts w:ascii="Inter" w:eastAsiaTheme="minorHAnsi" w:hAnsi="Inter" w:cstheme="minorHAnsi"/>
          <w:sz w:val="22"/>
          <w:szCs w:val="22"/>
        </w:rPr>
        <w:t>Suspicious Activity Report (SAR) procedure</w:t>
      </w:r>
    </w:p>
    <w:p w14:paraId="7CF7F933" w14:textId="56DCEDDC"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Avoid</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discussing any potential or actual SARs with clients or any third parti</w:t>
      </w:r>
      <w:r w:rsidR="002079C5" w:rsidRPr="00012467">
        <w:rPr>
          <w:rFonts w:ascii="Inter" w:eastAsiaTheme="minorHAnsi" w:hAnsi="Inter" w:cstheme="minorHAnsi"/>
          <w:sz w:val="22"/>
          <w:szCs w:val="22"/>
        </w:rPr>
        <w:t>es. If you do so, you could be guilty of an offence under PO</w:t>
      </w:r>
      <w:r w:rsidR="00881CCA" w:rsidRPr="00012467">
        <w:rPr>
          <w:rFonts w:ascii="Inter" w:eastAsiaTheme="minorHAnsi" w:hAnsi="Inter" w:cstheme="minorHAnsi"/>
          <w:sz w:val="22"/>
          <w:szCs w:val="22"/>
        </w:rPr>
        <w:t>C</w:t>
      </w:r>
      <w:r w:rsidR="002079C5" w:rsidRPr="00012467">
        <w:rPr>
          <w:rFonts w:ascii="Inter" w:eastAsiaTheme="minorHAnsi" w:hAnsi="Inter" w:cstheme="minorHAnsi"/>
          <w:sz w:val="22"/>
          <w:szCs w:val="22"/>
        </w:rPr>
        <w:t>A s333A or TACT s39</w:t>
      </w:r>
    </w:p>
    <w:p w14:paraId="50201588" w14:textId="6D3451CD"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Refe</w:t>
      </w:r>
      <w:r w:rsidR="00881CCA" w:rsidRPr="00012467">
        <w:rPr>
          <w:rFonts w:ascii="Inter" w:eastAsiaTheme="minorHAnsi" w:hAnsi="Inter" w:cstheme="minorHAnsi"/>
          <w:sz w:val="22"/>
          <w:szCs w:val="22"/>
        </w:rPr>
        <w:t>r</w:t>
      </w:r>
      <w:r w:rsidRPr="00012467">
        <w:rPr>
          <w:rFonts w:ascii="Inter" w:eastAsiaTheme="minorHAnsi" w:hAnsi="Inter" w:cstheme="minorHAnsi"/>
          <w:sz w:val="22"/>
          <w:szCs w:val="22"/>
        </w:rPr>
        <w:t>r</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any Police/Law Enforcement queries or requests to the MLRO </w:t>
      </w:r>
    </w:p>
    <w:p w14:paraId="79E6F3EB" w14:textId="132C2275"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Undertak</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any AML-related training provided by the </w:t>
      </w:r>
      <w:r w:rsidR="00B537D2" w:rsidRPr="00012467">
        <w:rPr>
          <w:rFonts w:ascii="Inter" w:eastAsiaTheme="minorHAnsi" w:hAnsi="Inter" w:cstheme="minorHAnsi"/>
          <w:sz w:val="22"/>
          <w:szCs w:val="22"/>
        </w:rPr>
        <w:t>practice</w:t>
      </w:r>
    </w:p>
    <w:p w14:paraId="2C2885B1" w14:textId="18CEE866" w:rsidR="001D4EDC" w:rsidRPr="00012467" w:rsidRDefault="001D4EDC" w:rsidP="004A06CE">
      <w:pPr>
        <w:pStyle w:val="list0bullet"/>
        <w:numPr>
          <w:ilvl w:val="0"/>
          <w:numId w:val="3"/>
        </w:numPr>
        <w:spacing w:before="0" w:after="0" w:line="240" w:lineRule="auto"/>
        <w:rPr>
          <w:rFonts w:ascii="Inter" w:eastAsiaTheme="minorHAnsi" w:hAnsi="Inter" w:cstheme="minorHAnsi"/>
          <w:sz w:val="22"/>
          <w:szCs w:val="22"/>
        </w:rPr>
      </w:pPr>
      <w:r w:rsidRPr="00012467">
        <w:rPr>
          <w:rFonts w:ascii="Inter" w:eastAsiaTheme="minorHAnsi" w:hAnsi="Inter" w:cstheme="minorHAnsi"/>
          <w:sz w:val="22"/>
          <w:szCs w:val="22"/>
        </w:rPr>
        <w:t>Keep</w:t>
      </w:r>
      <w:r w:rsidR="00881CCA" w:rsidRPr="00012467">
        <w:rPr>
          <w:rFonts w:ascii="Inter" w:eastAsiaTheme="minorHAnsi" w:hAnsi="Inter" w:cstheme="minorHAnsi"/>
          <w:sz w:val="22"/>
          <w:szCs w:val="22"/>
        </w:rPr>
        <w:t>ing</w:t>
      </w:r>
      <w:r w:rsidRPr="00012467">
        <w:rPr>
          <w:rFonts w:ascii="Inter" w:eastAsiaTheme="minorHAnsi" w:hAnsi="Inter" w:cstheme="minorHAnsi"/>
          <w:sz w:val="22"/>
          <w:szCs w:val="22"/>
        </w:rPr>
        <w:t xml:space="preserve"> appropriate records of all AML related activity</w:t>
      </w:r>
      <w:r w:rsidR="00530A1D" w:rsidRPr="00012467">
        <w:rPr>
          <w:rFonts w:ascii="Inter" w:eastAsiaTheme="minorHAnsi" w:hAnsi="Inter" w:cstheme="minorHAnsi"/>
          <w:sz w:val="22"/>
          <w:szCs w:val="22"/>
        </w:rPr>
        <w:t xml:space="preserve"> – including how </w:t>
      </w:r>
      <w:r w:rsidR="00524438" w:rsidRPr="00012467">
        <w:rPr>
          <w:rFonts w:ascii="Inter" w:eastAsiaTheme="minorHAnsi" w:hAnsi="Inter" w:cstheme="minorHAnsi"/>
          <w:sz w:val="22"/>
          <w:szCs w:val="22"/>
        </w:rPr>
        <w:t>PCPs</w:t>
      </w:r>
      <w:r w:rsidR="00530A1D" w:rsidRPr="00012467">
        <w:rPr>
          <w:rFonts w:ascii="Inter" w:eastAsiaTheme="minorHAnsi" w:hAnsi="Inter" w:cstheme="minorHAnsi"/>
          <w:sz w:val="22"/>
          <w:szCs w:val="22"/>
        </w:rPr>
        <w:t xml:space="preserve"> are communicated to staff</w:t>
      </w:r>
      <w:r w:rsidR="00881CCA" w:rsidRPr="00012467">
        <w:rPr>
          <w:rFonts w:ascii="Inter" w:eastAsiaTheme="minorHAnsi" w:hAnsi="Inter" w:cstheme="minorHAnsi"/>
          <w:sz w:val="22"/>
          <w:szCs w:val="22"/>
        </w:rPr>
        <w:t>.</w:t>
      </w:r>
    </w:p>
    <w:p w14:paraId="7EA0E92D" w14:textId="1BAF6075" w:rsidR="00BA3EE0" w:rsidRPr="00012467" w:rsidRDefault="00BA3EE0" w:rsidP="00F65226">
      <w:pPr>
        <w:pStyle w:val="list0bullet"/>
        <w:numPr>
          <w:ilvl w:val="0"/>
          <w:numId w:val="0"/>
        </w:numPr>
        <w:spacing w:before="0" w:after="0" w:line="240" w:lineRule="auto"/>
        <w:ind w:left="1134" w:hanging="567"/>
        <w:rPr>
          <w:rFonts w:ascii="Inter" w:eastAsiaTheme="minorHAnsi" w:hAnsi="Inter" w:cstheme="minorHAnsi"/>
          <w:sz w:val="22"/>
          <w:szCs w:val="22"/>
        </w:rPr>
      </w:pPr>
    </w:p>
    <w:p w14:paraId="7D57186E" w14:textId="21BC37C3" w:rsidR="00A37965" w:rsidRPr="00012467" w:rsidRDefault="00BA3EE0" w:rsidP="00A37965">
      <w:pPr>
        <w:pStyle w:val="Heading2"/>
        <w:spacing w:before="0" w:line="240" w:lineRule="auto"/>
        <w:rPr>
          <w:rFonts w:ascii="Inter" w:eastAsiaTheme="minorHAnsi" w:hAnsi="Inter" w:cstheme="minorHAnsi"/>
          <w:sz w:val="18"/>
          <w:szCs w:val="18"/>
          <w:u w:val="single"/>
        </w:rPr>
      </w:pPr>
      <w:bookmarkStart w:id="3" w:name="_Toc126840555"/>
      <w:r w:rsidRPr="00012467">
        <w:rPr>
          <w:rFonts w:ascii="Inter" w:eastAsiaTheme="minorHAnsi" w:hAnsi="Inter" w:cstheme="minorHAnsi"/>
          <w:u w:val="single"/>
        </w:rPr>
        <w:t>MLRO</w:t>
      </w:r>
      <w:bookmarkEnd w:id="3"/>
      <w:r w:rsidRPr="00012467">
        <w:rPr>
          <w:rFonts w:ascii="Inter" w:eastAsiaTheme="minorHAnsi" w:hAnsi="Inter" w:cstheme="minorHAnsi"/>
          <w:u w:val="single"/>
        </w:rPr>
        <w:t xml:space="preserve"> </w:t>
      </w:r>
      <w:r w:rsidR="00A37965" w:rsidRPr="00012467">
        <w:rPr>
          <w:rFonts w:ascii="Inter" w:eastAsiaTheme="minorHAnsi" w:hAnsi="Inter" w:cstheme="minorHAnsi"/>
          <w:u w:val="single"/>
        </w:rPr>
        <w:br/>
      </w:r>
    </w:p>
    <w:p w14:paraId="45627B03" w14:textId="18D2A08E" w:rsidR="00AF2CAB" w:rsidRPr="00012467" w:rsidRDefault="00AF2CAB" w:rsidP="00F65226">
      <w:pPr>
        <w:spacing w:after="0" w:line="240" w:lineRule="auto"/>
        <w:rPr>
          <w:rFonts w:ascii="Inter" w:hAnsi="Inter"/>
          <w:b/>
          <w:bCs/>
        </w:rPr>
      </w:pPr>
      <w:r w:rsidRPr="00012467">
        <w:rPr>
          <w:rFonts w:ascii="Inter" w:hAnsi="Inter"/>
          <w:b/>
          <w:bCs/>
        </w:rPr>
        <w:t>LSAG guidance 4.3</w:t>
      </w:r>
    </w:p>
    <w:p w14:paraId="24CA093C" w14:textId="77777777" w:rsidR="00881CCA" w:rsidRPr="00012467" w:rsidRDefault="00881CCA" w:rsidP="00F65226">
      <w:pPr>
        <w:spacing w:after="0" w:line="240" w:lineRule="auto"/>
        <w:rPr>
          <w:rFonts w:ascii="Inter" w:hAnsi="Inter"/>
        </w:rPr>
      </w:pPr>
    </w:p>
    <w:p w14:paraId="04E33AF3" w14:textId="1E51BB00" w:rsidR="007B0259" w:rsidRPr="00012467" w:rsidRDefault="007B0259" w:rsidP="00F65226">
      <w:pPr>
        <w:spacing w:after="0" w:line="240" w:lineRule="auto"/>
        <w:rPr>
          <w:rFonts w:ascii="Inter" w:hAnsi="Inter"/>
        </w:rPr>
      </w:pPr>
      <w:r w:rsidRPr="00012467">
        <w:rPr>
          <w:rFonts w:ascii="Inter" w:hAnsi="Inter"/>
        </w:rPr>
        <w:t xml:space="preserve">The MLRO is ultimately responsible for ensuring that information leading to knowledge or suspicion, or reasonable grounds for knowledge or suspicion of money laundering is properly disclosed to the National Crime Agency (NCA). </w:t>
      </w:r>
    </w:p>
    <w:p w14:paraId="0835C577" w14:textId="77777777" w:rsidR="00F07395" w:rsidRPr="00012467" w:rsidRDefault="00F07395" w:rsidP="00F65226">
      <w:pPr>
        <w:spacing w:after="0" w:line="240" w:lineRule="auto"/>
        <w:rPr>
          <w:rFonts w:ascii="Inter" w:hAnsi="Inter"/>
        </w:rPr>
      </w:pPr>
    </w:p>
    <w:p w14:paraId="1C5941AA" w14:textId="62059B72" w:rsidR="007B0259" w:rsidRPr="00012467" w:rsidRDefault="007B0259" w:rsidP="00F65226">
      <w:pPr>
        <w:spacing w:after="0" w:line="240" w:lineRule="auto"/>
        <w:rPr>
          <w:rFonts w:ascii="Inter" w:hAnsi="Inter"/>
        </w:rPr>
      </w:pPr>
      <w:r w:rsidRPr="00012467">
        <w:rPr>
          <w:rFonts w:ascii="Inter" w:hAnsi="Inter"/>
        </w:rPr>
        <w:t xml:space="preserve">The MLRO has a personal responsibility to ensure they fulfil their duties and may be subject to conviction under s.331 of the Proceeds of Crime Act 2002, for a failure to disclose information to the NCA. </w:t>
      </w:r>
    </w:p>
    <w:p w14:paraId="0C295F60" w14:textId="2A3C9C20" w:rsidR="007C4208" w:rsidRPr="00012467" w:rsidRDefault="007C4208" w:rsidP="00F65226">
      <w:pPr>
        <w:spacing w:after="0" w:line="240" w:lineRule="auto"/>
        <w:rPr>
          <w:rFonts w:ascii="Inter" w:hAnsi="Inter"/>
        </w:rPr>
      </w:pPr>
    </w:p>
    <w:p w14:paraId="723E3E94" w14:textId="1D98EA56" w:rsidR="007C4208" w:rsidRPr="00012467" w:rsidRDefault="007C4208" w:rsidP="00F65226">
      <w:pPr>
        <w:spacing w:after="0" w:line="240" w:lineRule="auto"/>
        <w:rPr>
          <w:rFonts w:ascii="Inter" w:hAnsi="Inter"/>
        </w:rPr>
      </w:pPr>
      <w:r w:rsidRPr="00012467">
        <w:rPr>
          <w:rFonts w:ascii="Inter" w:hAnsi="Inter"/>
        </w:rPr>
        <w:t>Where appropriate, the MLRO should also submit an (at least) annual “MLRO Report” to the Board setting out key information relating to the AML Compliance of the Practice. Further information can be found in LSAG Guidance s.4.3.3.</w:t>
      </w:r>
    </w:p>
    <w:p w14:paraId="1D46045C" w14:textId="77777777" w:rsidR="00F07395" w:rsidRPr="00012467" w:rsidRDefault="00F07395" w:rsidP="00F65226">
      <w:pPr>
        <w:spacing w:after="0" w:line="240" w:lineRule="auto"/>
        <w:rPr>
          <w:rFonts w:ascii="Inter" w:hAnsi="Inter"/>
        </w:rPr>
      </w:pPr>
    </w:p>
    <w:p w14:paraId="253F1964" w14:textId="1C0094F9" w:rsidR="007B0259" w:rsidRPr="00012467" w:rsidRDefault="007B0259" w:rsidP="00F65226">
      <w:pPr>
        <w:pStyle w:val="Heading3"/>
        <w:spacing w:before="0" w:line="240" w:lineRule="auto"/>
        <w:rPr>
          <w:rFonts w:ascii="Inter" w:hAnsi="Inter"/>
          <w:u w:val="single"/>
        </w:rPr>
      </w:pPr>
      <w:bookmarkStart w:id="4" w:name="_Toc126840556"/>
      <w:r w:rsidRPr="00012467">
        <w:rPr>
          <w:rFonts w:ascii="Inter" w:hAnsi="Inter"/>
          <w:color w:val="7030A0"/>
          <w:u w:val="single"/>
        </w:rPr>
        <w:lastRenderedPageBreak/>
        <w:t>The MLRO should be:</w:t>
      </w:r>
      <w:bookmarkEnd w:id="4"/>
      <w:r w:rsidR="00AC5243" w:rsidRPr="00012467">
        <w:rPr>
          <w:rFonts w:ascii="Inter" w:hAnsi="Inter"/>
          <w:color w:val="7030A0"/>
          <w:u w:val="single"/>
        </w:rPr>
        <w:br/>
      </w:r>
    </w:p>
    <w:p w14:paraId="00BDD1D8" w14:textId="77777777" w:rsidR="007B0259" w:rsidRPr="00012467" w:rsidRDefault="007B0259" w:rsidP="004A06CE">
      <w:pPr>
        <w:pStyle w:val="NoSpacing"/>
        <w:numPr>
          <w:ilvl w:val="0"/>
          <w:numId w:val="18"/>
        </w:numPr>
        <w:rPr>
          <w:rFonts w:ascii="Inter" w:hAnsi="Inter" w:cstheme="minorHAnsi"/>
          <w:color w:val="7030A0"/>
        </w:rPr>
      </w:pPr>
      <w:r w:rsidRPr="00012467">
        <w:rPr>
          <w:rFonts w:ascii="Inter" w:hAnsi="Inter" w:cstheme="minorHAnsi"/>
          <w:color w:val="7030A0"/>
        </w:rPr>
        <w:t>Of sufficient seniority to make decisions on reporting which can impact your practice's business relations with your clients and your exposure to criminal, civil, regulatory, and disciplinary sanctions</w:t>
      </w:r>
    </w:p>
    <w:p w14:paraId="0D280E02" w14:textId="3D23302C" w:rsidR="007B0259" w:rsidRPr="00012467" w:rsidRDefault="007B0259" w:rsidP="004A06CE">
      <w:pPr>
        <w:pStyle w:val="NoSpacing"/>
        <w:numPr>
          <w:ilvl w:val="0"/>
          <w:numId w:val="18"/>
        </w:numPr>
        <w:rPr>
          <w:rFonts w:ascii="Inter" w:hAnsi="Inter" w:cstheme="minorHAnsi"/>
          <w:color w:val="7030A0"/>
        </w:rPr>
      </w:pPr>
      <w:r w:rsidRPr="00012467">
        <w:rPr>
          <w:rFonts w:ascii="Inter" w:hAnsi="Inter" w:cstheme="minorHAnsi"/>
          <w:color w:val="7030A0"/>
        </w:rPr>
        <w:t xml:space="preserve">In a position of sufficient responsibility to have access to all client files and business information. This will allow them to make decisions </w:t>
      </w:r>
      <w:r w:rsidR="00323A25" w:rsidRPr="00012467">
        <w:rPr>
          <w:rFonts w:ascii="Inter" w:hAnsi="Inter" w:cstheme="minorHAnsi"/>
          <w:color w:val="7030A0"/>
        </w:rPr>
        <w:t>based on</w:t>
      </w:r>
      <w:r w:rsidRPr="00012467">
        <w:rPr>
          <w:rFonts w:ascii="Inter" w:hAnsi="Inter" w:cstheme="minorHAnsi"/>
          <w:color w:val="7030A0"/>
        </w:rPr>
        <w:t xml:space="preserve"> all information held by the practice</w:t>
      </w:r>
    </w:p>
    <w:p w14:paraId="54AE2197" w14:textId="20BD8F9A" w:rsidR="007B0259" w:rsidRPr="00012467" w:rsidRDefault="007B0259" w:rsidP="004A06CE">
      <w:pPr>
        <w:pStyle w:val="NoSpacing"/>
        <w:numPr>
          <w:ilvl w:val="0"/>
          <w:numId w:val="18"/>
        </w:numPr>
        <w:rPr>
          <w:rFonts w:ascii="Inter" w:hAnsi="Inter" w:cstheme="minorHAnsi"/>
          <w:color w:val="7030A0"/>
        </w:rPr>
      </w:pPr>
      <w:r w:rsidRPr="00012467">
        <w:rPr>
          <w:rFonts w:ascii="Inter" w:hAnsi="Inter" w:cstheme="minorHAnsi"/>
          <w:color w:val="7030A0"/>
        </w:rPr>
        <w:t xml:space="preserve">Supported and empowered in the carrying out of their duties by </w:t>
      </w:r>
      <w:r w:rsidR="00916576" w:rsidRPr="00012467">
        <w:rPr>
          <w:rFonts w:ascii="Inter" w:hAnsi="Inter" w:cstheme="minorHAnsi"/>
          <w:color w:val="7030A0"/>
        </w:rPr>
        <w:t xml:space="preserve">the </w:t>
      </w:r>
      <w:r w:rsidR="00C95F0A" w:rsidRPr="00012467">
        <w:rPr>
          <w:rFonts w:ascii="Inter" w:hAnsi="Inter" w:cstheme="minorHAnsi"/>
          <w:color w:val="7030A0"/>
        </w:rPr>
        <w:t>Board</w:t>
      </w:r>
    </w:p>
    <w:p w14:paraId="2D911A4C" w14:textId="2FF100D1" w:rsidR="00A77D84" w:rsidRPr="00012467" w:rsidRDefault="00A77D84" w:rsidP="004A06CE">
      <w:pPr>
        <w:pStyle w:val="NoSpacing"/>
        <w:numPr>
          <w:ilvl w:val="0"/>
          <w:numId w:val="18"/>
        </w:numPr>
        <w:rPr>
          <w:rFonts w:ascii="Inter" w:hAnsi="Inter" w:cstheme="minorHAnsi"/>
          <w:color w:val="7030A0"/>
        </w:rPr>
      </w:pPr>
      <w:r w:rsidRPr="00012467">
        <w:rPr>
          <w:rFonts w:ascii="Inter" w:hAnsi="Inter" w:cstheme="minorHAnsi"/>
          <w:color w:val="7030A0"/>
        </w:rPr>
        <w:t>The appointment should be documented, along with the rationale behind the appointment</w:t>
      </w:r>
    </w:p>
    <w:p w14:paraId="5CE3945F" w14:textId="21BFDC14" w:rsidR="007B0259" w:rsidRPr="00012467" w:rsidRDefault="007B0259" w:rsidP="00F07395">
      <w:pPr>
        <w:pStyle w:val="NoSpacing"/>
        <w:rPr>
          <w:rFonts w:ascii="Inter" w:hAnsi="Inter" w:cstheme="minorHAnsi"/>
          <w:color w:val="7030A0"/>
        </w:rPr>
      </w:pPr>
    </w:p>
    <w:p w14:paraId="586A9D64" w14:textId="5F8321A9" w:rsidR="00AF2CAB" w:rsidRPr="00012467" w:rsidRDefault="00AF2CAB" w:rsidP="00F07395">
      <w:pPr>
        <w:pStyle w:val="NoSpacing"/>
        <w:rPr>
          <w:rFonts w:ascii="Inter" w:hAnsi="Inter" w:cstheme="minorHAnsi"/>
          <w:color w:val="7030A0"/>
        </w:rPr>
      </w:pPr>
    </w:p>
    <w:p w14:paraId="22CC0783" w14:textId="254351F3" w:rsidR="00DB6EF5" w:rsidRPr="00012467" w:rsidRDefault="00DB6EF5" w:rsidP="00F65226">
      <w:pPr>
        <w:pStyle w:val="Heading1"/>
        <w:spacing w:before="0" w:line="240" w:lineRule="auto"/>
        <w:rPr>
          <w:rFonts w:ascii="Inter" w:hAnsi="Inter" w:cstheme="minorHAnsi"/>
          <w:bCs/>
          <w:sz w:val="18"/>
          <w:szCs w:val="18"/>
          <w:u w:val="single"/>
        </w:rPr>
      </w:pPr>
      <w:bookmarkStart w:id="5" w:name="_Toc126840557"/>
      <w:r w:rsidRPr="00012467">
        <w:rPr>
          <w:rFonts w:ascii="Inter" w:hAnsi="Inter" w:cstheme="minorHAnsi"/>
          <w:bCs/>
          <w:u w:val="single"/>
        </w:rPr>
        <w:t>Risk Assessment</w:t>
      </w:r>
      <w:bookmarkEnd w:id="5"/>
      <w:r w:rsidRPr="00012467">
        <w:rPr>
          <w:rFonts w:ascii="Inter" w:hAnsi="Inter" w:cstheme="minorHAnsi"/>
          <w:bCs/>
          <w:u w:val="single"/>
        </w:rPr>
        <w:t xml:space="preserve"> </w:t>
      </w:r>
      <w:r w:rsidR="00A37965" w:rsidRPr="00012467">
        <w:rPr>
          <w:rFonts w:ascii="Inter" w:hAnsi="Inter" w:cstheme="minorHAnsi"/>
          <w:bCs/>
          <w:u w:val="single"/>
        </w:rPr>
        <w:br/>
      </w:r>
    </w:p>
    <w:p w14:paraId="33D3667E" w14:textId="39D7F83B" w:rsidR="00DB6EF5" w:rsidRPr="00012467" w:rsidRDefault="000518F9" w:rsidP="00F65226">
      <w:pPr>
        <w:spacing w:after="0" w:line="240" w:lineRule="auto"/>
        <w:rPr>
          <w:rFonts w:ascii="Inter" w:hAnsi="Inter" w:cstheme="minorHAnsi"/>
          <w:b/>
          <w:bCs/>
        </w:rPr>
      </w:pPr>
      <w:r w:rsidRPr="00012467">
        <w:rPr>
          <w:rFonts w:ascii="Inter" w:hAnsi="Inter" w:cstheme="minorHAnsi"/>
          <w:b/>
          <w:bCs/>
        </w:rPr>
        <w:t>LSAG guidance section 5.</w:t>
      </w:r>
      <w:r w:rsidR="00AF4040" w:rsidRPr="00012467">
        <w:rPr>
          <w:rFonts w:ascii="Inter" w:hAnsi="Inter" w:cstheme="minorHAnsi"/>
          <w:b/>
          <w:bCs/>
        </w:rPr>
        <w:t>6</w:t>
      </w:r>
    </w:p>
    <w:p w14:paraId="43AE02A4" w14:textId="77777777" w:rsidR="00F07395" w:rsidRPr="00012467" w:rsidRDefault="00F07395" w:rsidP="00F65226">
      <w:pPr>
        <w:spacing w:after="0" w:line="240" w:lineRule="auto"/>
        <w:rPr>
          <w:rFonts w:ascii="Inter" w:hAnsi="Inter" w:cstheme="minorHAnsi"/>
        </w:rPr>
      </w:pPr>
    </w:p>
    <w:p w14:paraId="05A880E3" w14:textId="026D0831" w:rsidR="00DB6EF5" w:rsidRPr="00012467" w:rsidRDefault="00AF2CAB" w:rsidP="00C66AE1">
      <w:pPr>
        <w:pStyle w:val="Heading2"/>
        <w:rPr>
          <w:rFonts w:ascii="Inter" w:hAnsi="Inter" w:cstheme="majorHAnsi"/>
          <w:sz w:val="24"/>
          <w:szCs w:val="24"/>
          <w:u w:val="single"/>
        </w:rPr>
      </w:pPr>
      <w:bookmarkStart w:id="6" w:name="_Toc126840558"/>
      <w:r w:rsidRPr="00012467">
        <w:rPr>
          <w:rFonts w:ascii="Inter" w:hAnsi="Inter" w:cstheme="majorHAnsi"/>
          <w:sz w:val="24"/>
          <w:szCs w:val="24"/>
          <w:u w:val="single"/>
        </w:rPr>
        <w:t>Practice Wide Risk Assessment</w:t>
      </w:r>
      <w:r w:rsidR="00C918D6" w:rsidRPr="00012467">
        <w:rPr>
          <w:rFonts w:ascii="Inter" w:hAnsi="Inter" w:cstheme="majorHAnsi"/>
          <w:sz w:val="24"/>
          <w:szCs w:val="24"/>
          <w:u w:val="single"/>
        </w:rPr>
        <w:t xml:space="preserve"> (PWRA)</w:t>
      </w:r>
      <w:bookmarkEnd w:id="6"/>
    </w:p>
    <w:p w14:paraId="2BDFE1F8" w14:textId="77777777" w:rsidR="00C918D6" w:rsidRPr="00012467" w:rsidRDefault="00C918D6" w:rsidP="00C918D6">
      <w:pPr>
        <w:pStyle w:val="NoSpacing"/>
        <w:rPr>
          <w:rFonts w:ascii="Inter" w:hAnsi="Inter"/>
        </w:rPr>
      </w:pPr>
    </w:p>
    <w:p w14:paraId="07B107B6" w14:textId="7C0AE6D8" w:rsidR="00D068DD" w:rsidRPr="00012467" w:rsidRDefault="004E2E7C" w:rsidP="00C918D6">
      <w:pPr>
        <w:pStyle w:val="NoSpacing"/>
        <w:rPr>
          <w:rFonts w:ascii="Inter" w:hAnsi="Inter"/>
        </w:rPr>
      </w:pPr>
      <w:r w:rsidRPr="00012467">
        <w:rPr>
          <w:rFonts w:ascii="Inter" w:hAnsi="Inter"/>
        </w:rPr>
        <w:t>R.18 require</w:t>
      </w:r>
      <w:r w:rsidR="007C4208" w:rsidRPr="00012467">
        <w:rPr>
          <w:rFonts w:ascii="Inter" w:hAnsi="Inter"/>
        </w:rPr>
        <w:t>s</w:t>
      </w:r>
      <w:r w:rsidRPr="00012467">
        <w:rPr>
          <w:rFonts w:ascii="Inter" w:hAnsi="Inter"/>
        </w:rPr>
        <w:t xml:space="preserve"> the practice to document a PWRA. </w:t>
      </w:r>
    </w:p>
    <w:p w14:paraId="5D35C7FA" w14:textId="77777777" w:rsidR="00D068DD" w:rsidRPr="00012467" w:rsidRDefault="00D068DD" w:rsidP="00C918D6">
      <w:pPr>
        <w:pStyle w:val="NoSpacing"/>
        <w:rPr>
          <w:rFonts w:ascii="Inter" w:hAnsi="Inter"/>
        </w:rPr>
      </w:pPr>
    </w:p>
    <w:p w14:paraId="41CC3C92" w14:textId="3944D3FE" w:rsidR="00B80FB9" w:rsidRPr="00012467" w:rsidRDefault="00AF2CAB" w:rsidP="00C918D6">
      <w:pPr>
        <w:pStyle w:val="NoSpacing"/>
        <w:rPr>
          <w:rFonts w:ascii="Inter" w:hAnsi="Inter"/>
        </w:rPr>
      </w:pPr>
      <w:r w:rsidRPr="00012467">
        <w:rPr>
          <w:rFonts w:ascii="Inter" w:hAnsi="Inter"/>
          <w:color w:val="FF0000"/>
        </w:rPr>
        <w:t>[</w:t>
      </w:r>
      <w:r w:rsidR="00D068DD" w:rsidRPr="00012467">
        <w:rPr>
          <w:rFonts w:ascii="Inter" w:hAnsi="Inter"/>
          <w:color w:val="FF0000"/>
        </w:rPr>
        <w:t>PRACTICE</w:t>
      </w:r>
      <w:r w:rsidRPr="00012467">
        <w:rPr>
          <w:rFonts w:ascii="Inter" w:hAnsi="Inter"/>
          <w:color w:val="FF0000"/>
        </w:rPr>
        <w:t xml:space="preserve"> NAME] </w:t>
      </w:r>
      <w:r w:rsidRPr="00012467">
        <w:rPr>
          <w:rFonts w:ascii="Inter" w:hAnsi="Inter"/>
        </w:rPr>
        <w:t>has established its own risk profile as per R.18 and has considered the following factors</w:t>
      </w:r>
      <w:r w:rsidR="00C918D6" w:rsidRPr="00012467">
        <w:rPr>
          <w:rFonts w:ascii="Inter" w:hAnsi="Inter"/>
        </w:rPr>
        <w:t xml:space="preserve"> (please see separate PWRA for further details on each factor)</w:t>
      </w:r>
      <w:r w:rsidR="00DB6EF5" w:rsidRPr="00012467">
        <w:rPr>
          <w:rFonts w:ascii="Inter" w:hAnsi="Inter"/>
        </w:rPr>
        <w:t>:</w:t>
      </w:r>
      <w:r w:rsidR="00C918D6" w:rsidRPr="00012467">
        <w:rPr>
          <w:rFonts w:ascii="Inter" w:hAnsi="Inter"/>
        </w:rPr>
        <w:t xml:space="preserve"> </w:t>
      </w:r>
    </w:p>
    <w:p w14:paraId="614B5A93" w14:textId="77777777" w:rsidR="00C918D6" w:rsidRPr="00012467" w:rsidRDefault="00C918D6" w:rsidP="00C918D6">
      <w:pPr>
        <w:pStyle w:val="NoSpacing"/>
        <w:rPr>
          <w:rFonts w:ascii="Inter" w:hAnsi="Inter"/>
        </w:rPr>
      </w:pPr>
    </w:p>
    <w:p w14:paraId="35667602" w14:textId="77777777" w:rsidR="00622280" w:rsidRPr="00012467" w:rsidRDefault="00622280" w:rsidP="00F65226">
      <w:pPr>
        <w:spacing w:after="0" w:line="240" w:lineRule="auto"/>
        <w:rPr>
          <w:rFonts w:ascii="Inter" w:hAnsi="Inter" w:cstheme="minorHAnsi"/>
          <w:color w:val="7030A0"/>
        </w:rPr>
      </w:pPr>
    </w:p>
    <w:p w14:paraId="54BBAFA6" w14:textId="195041C5" w:rsidR="00B80FB9" w:rsidRPr="00012467" w:rsidRDefault="00B80FB9"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 xml:space="preserve">Client Risk Factors (LSAG </w:t>
      </w:r>
      <w:r w:rsidR="006B76F4" w:rsidRPr="00012467">
        <w:rPr>
          <w:rFonts w:ascii="Inter" w:hAnsi="Inter" w:cstheme="minorHAnsi"/>
          <w:color w:val="7030A0"/>
        </w:rPr>
        <w:t>g</w:t>
      </w:r>
      <w:r w:rsidRPr="00012467">
        <w:rPr>
          <w:rFonts w:ascii="Inter" w:hAnsi="Inter" w:cstheme="minorHAnsi"/>
          <w:color w:val="7030A0"/>
        </w:rPr>
        <w:t>uidance 5.6.1)</w:t>
      </w:r>
    </w:p>
    <w:p w14:paraId="427C3273" w14:textId="37706397" w:rsidR="00B80FB9" w:rsidRPr="00012467" w:rsidRDefault="00B80FB9"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 xml:space="preserve">Client Turnover (LSAG </w:t>
      </w:r>
      <w:r w:rsidR="006B76F4" w:rsidRPr="00012467">
        <w:rPr>
          <w:rFonts w:ascii="Inter" w:hAnsi="Inter" w:cstheme="minorHAnsi"/>
          <w:color w:val="7030A0"/>
        </w:rPr>
        <w:t>g</w:t>
      </w:r>
      <w:r w:rsidRPr="00012467">
        <w:rPr>
          <w:rFonts w:ascii="Inter" w:hAnsi="Inter" w:cstheme="minorHAnsi"/>
          <w:color w:val="7030A0"/>
        </w:rPr>
        <w:t>uidance 5.6.1.1)</w:t>
      </w:r>
    </w:p>
    <w:p w14:paraId="1419812F" w14:textId="1132C524" w:rsidR="00B80FB9"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 xml:space="preserve">Politically Exposed Persons - </w:t>
      </w:r>
      <w:r w:rsidR="00B80FB9" w:rsidRPr="00012467">
        <w:rPr>
          <w:rFonts w:ascii="Inter" w:hAnsi="Inter" w:cstheme="minorHAnsi"/>
          <w:color w:val="7030A0"/>
        </w:rPr>
        <w:t>PEPS (LSAG guidance 5.6.1.2)</w:t>
      </w:r>
    </w:p>
    <w:p w14:paraId="2A5401C5" w14:textId="54508697" w:rsidR="00B80FB9" w:rsidRPr="00012467" w:rsidRDefault="00B80FB9"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Clients in higher risk sectors (</w:t>
      </w:r>
      <w:r w:rsidR="00544856" w:rsidRPr="00012467">
        <w:rPr>
          <w:rFonts w:ascii="Inter" w:hAnsi="Inter" w:cstheme="minorHAnsi"/>
          <w:color w:val="7030A0"/>
        </w:rPr>
        <w:t>LSAG guidance 5.6.1.3)</w:t>
      </w:r>
    </w:p>
    <w:p w14:paraId="304835BC" w14:textId="67345B24"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Clients with cash intensive businesses (LSAG guidance 5.6.1.4)</w:t>
      </w:r>
    </w:p>
    <w:p w14:paraId="746A7657" w14:textId="17D87A17"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Geographic Risk (LSAG guidance 5.6.2)</w:t>
      </w:r>
    </w:p>
    <w:p w14:paraId="66D07FC6" w14:textId="52416466"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Higher Risk Jurisdictions (LSAG guidance 5.6.2.1)</w:t>
      </w:r>
    </w:p>
    <w:p w14:paraId="31B56EBA" w14:textId="6A61E2F9"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Product or Service Risks (LSAG guidance 5.6.3)</w:t>
      </w:r>
    </w:p>
    <w:p w14:paraId="484D6018" w14:textId="7C61108B"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Delivery Channel Risk (LSAG guidance 5.6.4)</w:t>
      </w:r>
    </w:p>
    <w:p w14:paraId="32C49125" w14:textId="415E8F83" w:rsidR="00544856" w:rsidRPr="00012467" w:rsidRDefault="00544856" w:rsidP="004A06CE">
      <w:pPr>
        <w:pStyle w:val="ListParagraph"/>
        <w:numPr>
          <w:ilvl w:val="0"/>
          <w:numId w:val="8"/>
        </w:numPr>
        <w:spacing w:after="0" w:line="240" w:lineRule="auto"/>
        <w:rPr>
          <w:rFonts w:ascii="Inter" w:hAnsi="Inter" w:cstheme="minorHAnsi"/>
          <w:color w:val="7030A0"/>
        </w:rPr>
      </w:pPr>
      <w:r w:rsidRPr="00012467">
        <w:rPr>
          <w:rFonts w:ascii="Inter" w:hAnsi="Inter" w:cstheme="minorHAnsi"/>
          <w:color w:val="7030A0"/>
        </w:rPr>
        <w:t>Transaction Risk (LSAG guidance 5.6.5)</w:t>
      </w:r>
    </w:p>
    <w:p w14:paraId="0C8A5BF6" w14:textId="77777777" w:rsidR="00F07395" w:rsidRPr="00012467" w:rsidRDefault="00F07395" w:rsidP="00F65226">
      <w:pPr>
        <w:pStyle w:val="NoSpacing"/>
        <w:rPr>
          <w:rFonts w:ascii="Inter" w:hAnsi="Inter" w:cstheme="minorHAnsi"/>
          <w:i/>
          <w:iCs/>
          <w:color w:val="7030A0"/>
        </w:rPr>
      </w:pPr>
    </w:p>
    <w:p w14:paraId="347D6943" w14:textId="4B1F824F" w:rsidR="00863B4F" w:rsidRPr="00012467" w:rsidRDefault="006B76F4" w:rsidP="00455092">
      <w:pPr>
        <w:pStyle w:val="NoSpacing"/>
        <w:rPr>
          <w:rFonts w:ascii="Inter" w:hAnsi="Inter" w:cstheme="minorHAnsi"/>
          <w:i/>
          <w:iCs/>
          <w:color w:val="7030A0"/>
        </w:rPr>
      </w:pPr>
      <w:r w:rsidRPr="00012467">
        <w:rPr>
          <w:rFonts w:ascii="Inter" w:hAnsi="Inter" w:cstheme="minorHAnsi"/>
          <w:i/>
          <w:iCs/>
          <w:color w:val="7030A0"/>
        </w:rPr>
        <w:t xml:space="preserve">Consider: </w:t>
      </w:r>
      <w:r w:rsidR="00E374C0" w:rsidRPr="00012467">
        <w:rPr>
          <w:rFonts w:ascii="Inter" w:hAnsi="Inter" w:cstheme="minorHAnsi"/>
          <w:i/>
          <w:iCs/>
          <w:color w:val="7030A0"/>
        </w:rPr>
        <w:t xml:space="preserve">Your </w:t>
      </w:r>
      <w:r w:rsidR="00C918D6" w:rsidRPr="00012467">
        <w:rPr>
          <w:rFonts w:ascii="Inter" w:hAnsi="Inter" w:cstheme="minorHAnsi"/>
          <w:i/>
          <w:iCs/>
          <w:color w:val="7030A0"/>
        </w:rPr>
        <w:t>PWRA</w:t>
      </w:r>
      <w:r w:rsidR="00E374C0" w:rsidRPr="00012467">
        <w:rPr>
          <w:rFonts w:ascii="Inter" w:hAnsi="Inter" w:cstheme="minorHAnsi"/>
          <w:i/>
          <w:iCs/>
          <w:color w:val="7030A0"/>
        </w:rPr>
        <w:t xml:space="preserve"> should be used to influence your PCP’s. </w:t>
      </w:r>
      <w:r w:rsidR="00863B4F" w:rsidRPr="00012467">
        <w:rPr>
          <w:rFonts w:ascii="Inter" w:hAnsi="Inter" w:cstheme="minorHAnsi"/>
          <w:i/>
          <w:iCs/>
          <w:color w:val="7030A0"/>
        </w:rPr>
        <w:t xml:space="preserve">AML </w:t>
      </w:r>
      <w:r w:rsidR="00511CAB" w:rsidRPr="00012467">
        <w:rPr>
          <w:rFonts w:ascii="Inter" w:hAnsi="Inter" w:cstheme="minorHAnsi"/>
          <w:i/>
          <w:iCs/>
          <w:color w:val="7030A0"/>
        </w:rPr>
        <w:t>PCPs</w:t>
      </w:r>
      <w:r w:rsidR="00863B4F" w:rsidRPr="00012467">
        <w:rPr>
          <w:rFonts w:ascii="Inter" w:hAnsi="Inter" w:cstheme="minorHAnsi"/>
          <w:i/>
          <w:iCs/>
          <w:color w:val="7030A0"/>
        </w:rPr>
        <w:t xml:space="preserve"> should be tailored to mitigate the risk as noted above. I.e., if your Practice Wide Risk Assessment indicat</w:t>
      </w:r>
      <w:r w:rsidRPr="00012467">
        <w:rPr>
          <w:rFonts w:ascii="Inter" w:hAnsi="Inter" w:cstheme="minorHAnsi"/>
          <w:i/>
          <w:iCs/>
          <w:color w:val="7030A0"/>
        </w:rPr>
        <w:t>es</w:t>
      </w:r>
      <w:r w:rsidR="00863B4F" w:rsidRPr="00012467">
        <w:rPr>
          <w:rFonts w:ascii="Inter" w:hAnsi="Inter" w:cstheme="minorHAnsi"/>
          <w:i/>
          <w:iCs/>
          <w:color w:val="7030A0"/>
        </w:rPr>
        <w:t xml:space="preserve"> conveyancing as a high-risk area of your business, it may be appropriate to place stronger/more stringent AML procedures in place within this area of your business, compared to lower risk areas.</w:t>
      </w:r>
    </w:p>
    <w:p w14:paraId="12D6E200" w14:textId="58A8D08C" w:rsidR="007C4208" w:rsidRPr="00012467" w:rsidRDefault="007C4208" w:rsidP="00455092">
      <w:pPr>
        <w:pStyle w:val="NoSpacing"/>
        <w:rPr>
          <w:rFonts w:ascii="Inter" w:hAnsi="Inter" w:cstheme="minorHAnsi"/>
          <w:i/>
          <w:iCs/>
          <w:color w:val="7030A0"/>
        </w:rPr>
      </w:pPr>
    </w:p>
    <w:p w14:paraId="6B5DE92E" w14:textId="2292D11F" w:rsidR="007C4208" w:rsidRPr="00012467" w:rsidRDefault="007C4208" w:rsidP="007C4208">
      <w:pPr>
        <w:pStyle w:val="NoSpacing"/>
        <w:rPr>
          <w:rFonts w:ascii="Inter" w:hAnsi="Inter"/>
        </w:rPr>
      </w:pPr>
      <w:r w:rsidRPr="00012467">
        <w:rPr>
          <w:rFonts w:ascii="Inter" w:hAnsi="Inter"/>
        </w:rPr>
        <w:t xml:space="preserve">Based on consideration of the above factors, Senior Management believe </w:t>
      </w:r>
      <w:r w:rsidRPr="00012467">
        <w:rPr>
          <w:rFonts w:ascii="Inter" w:hAnsi="Inter"/>
          <w:color w:val="FF0000"/>
        </w:rPr>
        <w:t xml:space="preserve">[PRACTICE NAME] </w:t>
      </w:r>
      <w:r w:rsidRPr="00012467">
        <w:rPr>
          <w:rFonts w:ascii="Inter" w:hAnsi="Inter"/>
        </w:rPr>
        <w:t>is at an inherently [</w:t>
      </w:r>
      <w:r w:rsidRPr="00012467">
        <w:rPr>
          <w:rFonts w:ascii="Inter" w:hAnsi="Inter"/>
          <w:color w:val="FF0000"/>
        </w:rPr>
        <w:t xml:space="preserve">low/medium/high risk] </w:t>
      </w:r>
      <w:r w:rsidRPr="00012467">
        <w:rPr>
          <w:rFonts w:ascii="Inter" w:hAnsi="Inter"/>
        </w:rPr>
        <w:t>of being used to launder the proceeds of crime.</w:t>
      </w:r>
      <w:r w:rsidR="00D75895" w:rsidRPr="00012467">
        <w:rPr>
          <w:rFonts w:ascii="Inter" w:hAnsi="Inter"/>
        </w:rPr>
        <w:t xml:space="preserve"> Th</w:t>
      </w:r>
      <w:r w:rsidR="00A4425E" w:rsidRPr="00012467">
        <w:rPr>
          <w:rFonts w:ascii="Inter" w:hAnsi="Inter"/>
        </w:rPr>
        <w:t xml:space="preserve">is has been taken into consideration when drafting these AML PCP’s. </w:t>
      </w:r>
      <w:r w:rsidRPr="00012467">
        <w:rPr>
          <w:rFonts w:ascii="Inter" w:hAnsi="Inter"/>
        </w:rPr>
        <w:t xml:space="preserve">  </w:t>
      </w:r>
    </w:p>
    <w:p w14:paraId="5F556DB0" w14:textId="77777777" w:rsidR="007C4208" w:rsidRPr="00012467" w:rsidRDefault="007C4208" w:rsidP="00455092">
      <w:pPr>
        <w:pStyle w:val="NoSpacing"/>
        <w:rPr>
          <w:rFonts w:ascii="Inter" w:hAnsi="Inter" w:cstheme="minorHAnsi"/>
          <w:i/>
          <w:iCs/>
          <w:color w:val="7030A0"/>
        </w:rPr>
      </w:pPr>
    </w:p>
    <w:p w14:paraId="2DBD45D1" w14:textId="77777777" w:rsidR="00455092" w:rsidRPr="00012467" w:rsidRDefault="00455092" w:rsidP="00455092">
      <w:pPr>
        <w:pStyle w:val="NoSpacing"/>
        <w:rPr>
          <w:rFonts w:ascii="Inter" w:hAnsi="Inter" w:cstheme="minorHAnsi"/>
        </w:rPr>
      </w:pPr>
    </w:p>
    <w:p w14:paraId="7865F7CA" w14:textId="77777777" w:rsidR="00D27145" w:rsidRDefault="00D27145">
      <w:pPr>
        <w:spacing w:after="160" w:line="259" w:lineRule="auto"/>
        <w:rPr>
          <w:rFonts w:ascii="Inter" w:eastAsiaTheme="majorEastAsia" w:hAnsi="Inter" w:cstheme="majorHAnsi"/>
          <w:color w:val="2F5496" w:themeColor="accent1" w:themeShade="BF"/>
          <w:sz w:val="24"/>
          <w:szCs w:val="24"/>
          <w:u w:val="single"/>
        </w:rPr>
      </w:pPr>
      <w:bookmarkStart w:id="7" w:name="_Toc126840559"/>
      <w:r>
        <w:rPr>
          <w:rFonts w:ascii="Inter" w:hAnsi="Inter" w:cstheme="majorHAnsi"/>
          <w:sz w:val="24"/>
          <w:szCs w:val="24"/>
          <w:u w:val="single"/>
        </w:rPr>
        <w:br w:type="page"/>
      </w:r>
    </w:p>
    <w:p w14:paraId="0720150C" w14:textId="7C1979E3" w:rsidR="00511CAB" w:rsidRPr="00012467" w:rsidRDefault="006D4556" w:rsidP="00C66AE1">
      <w:pPr>
        <w:pStyle w:val="Heading2"/>
        <w:rPr>
          <w:rFonts w:ascii="Inter" w:hAnsi="Inter" w:cstheme="majorHAnsi"/>
          <w:sz w:val="24"/>
          <w:szCs w:val="24"/>
          <w:u w:val="single"/>
        </w:rPr>
      </w:pPr>
      <w:r w:rsidRPr="00012467">
        <w:rPr>
          <w:rFonts w:ascii="Inter" w:hAnsi="Inter" w:cstheme="majorHAnsi"/>
          <w:sz w:val="24"/>
          <w:szCs w:val="24"/>
          <w:u w:val="single"/>
        </w:rPr>
        <w:lastRenderedPageBreak/>
        <w:t xml:space="preserve">Client/Matter-Level </w:t>
      </w:r>
      <w:r w:rsidR="00511CAB" w:rsidRPr="00012467">
        <w:rPr>
          <w:rFonts w:ascii="Inter" w:hAnsi="Inter" w:cstheme="majorHAnsi"/>
          <w:sz w:val="24"/>
          <w:szCs w:val="24"/>
          <w:u w:val="single"/>
        </w:rPr>
        <w:t>Risk Assessment</w:t>
      </w:r>
      <w:bookmarkEnd w:id="7"/>
    </w:p>
    <w:p w14:paraId="23159191" w14:textId="0D7E1FA7" w:rsidR="00535F1D" w:rsidRPr="00012467" w:rsidRDefault="00535F1D" w:rsidP="00865B61">
      <w:pPr>
        <w:pStyle w:val="NoSpacing"/>
        <w:rPr>
          <w:rFonts w:ascii="Inter" w:hAnsi="Inter" w:cstheme="minorHAnsi"/>
          <w:color w:val="7030A0"/>
        </w:rPr>
      </w:pPr>
    </w:p>
    <w:p w14:paraId="76BB20F5" w14:textId="278D2B7B" w:rsidR="00535F1D" w:rsidRPr="00012467" w:rsidRDefault="00535F1D" w:rsidP="00865B61">
      <w:pPr>
        <w:pStyle w:val="NoSpacing"/>
        <w:rPr>
          <w:rFonts w:ascii="Inter" w:hAnsi="Inter" w:cstheme="minorHAnsi"/>
          <w:color w:val="7030A0"/>
        </w:rPr>
      </w:pPr>
      <w:r w:rsidRPr="00012467">
        <w:rPr>
          <w:rFonts w:ascii="Inter" w:hAnsi="Inter" w:cstheme="minorHAnsi"/>
          <w:color w:val="7030A0"/>
        </w:rPr>
        <w:t>Detail your Practices approach to the</w:t>
      </w:r>
      <w:r w:rsidR="006B76F4" w:rsidRPr="00012467">
        <w:rPr>
          <w:rFonts w:ascii="Inter" w:hAnsi="Inter" w:cstheme="minorHAnsi"/>
          <w:color w:val="7030A0"/>
        </w:rPr>
        <w:t xml:space="preserve"> Client and Matter</w:t>
      </w:r>
      <w:r w:rsidRPr="00012467">
        <w:rPr>
          <w:rFonts w:ascii="Inter" w:hAnsi="Inter" w:cstheme="minorHAnsi"/>
          <w:color w:val="7030A0"/>
        </w:rPr>
        <w:t xml:space="preserve"> Risk Assessment (RA), including:</w:t>
      </w:r>
    </w:p>
    <w:p w14:paraId="1BCB3066" w14:textId="77777777" w:rsidR="00535F1D" w:rsidRPr="00012467" w:rsidRDefault="00535F1D" w:rsidP="00F65226">
      <w:pPr>
        <w:pStyle w:val="ListParagraph"/>
        <w:spacing w:after="0" w:line="240" w:lineRule="auto"/>
        <w:rPr>
          <w:rFonts w:ascii="Inter" w:hAnsi="Inter" w:cstheme="minorHAnsi"/>
          <w:color w:val="7030A0"/>
        </w:rPr>
      </w:pPr>
    </w:p>
    <w:p w14:paraId="25D11EBD" w14:textId="31A690FF" w:rsidR="00511CAB" w:rsidRPr="00012467" w:rsidRDefault="00511CAB"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Who is responsible for</w:t>
      </w:r>
      <w:r w:rsidR="00A150A9" w:rsidRPr="00012467">
        <w:rPr>
          <w:rFonts w:ascii="Inter" w:hAnsi="Inter" w:cstheme="minorHAnsi"/>
          <w:color w:val="7030A0"/>
        </w:rPr>
        <w:t xml:space="preserve"> completing the RA and how is it undertaken?</w:t>
      </w:r>
    </w:p>
    <w:p w14:paraId="5E1565F2" w14:textId="3CC3EFBD" w:rsidR="007C4208" w:rsidRPr="00012467" w:rsidRDefault="007C4208"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Factors to be considered at all levels of risk assessment (LSAG Guidance 5.6)</w:t>
      </w:r>
    </w:p>
    <w:p w14:paraId="29473B29" w14:textId="12082538" w:rsidR="00A150A9" w:rsidRPr="00012467" w:rsidRDefault="00A150A9"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Client Risk Assessment</w:t>
      </w:r>
      <w:r w:rsidR="00E0348E" w:rsidRPr="00012467">
        <w:rPr>
          <w:rFonts w:ascii="Inter" w:hAnsi="Inter" w:cstheme="minorHAnsi"/>
          <w:color w:val="7030A0"/>
        </w:rPr>
        <w:t xml:space="preserve"> (LSAG guidance 5.10)</w:t>
      </w:r>
      <w:r w:rsidRPr="00012467">
        <w:rPr>
          <w:rFonts w:ascii="Inter" w:hAnsi="Inter" w:cstheme="minorHAnsi"/>
          <w:color w:val="7030A0"/>
        </w:rPr>
        <w:t xml:space="preserve"> – a written assessment on each new client</w:t>
      </w:r>
      <w:r w:rsidR="00E0348E" w:rsidRPr="00012467">
        <w:rPr>
          <w:rFonts w:ascii="Inter" w:hAnsi="Inter" w:cstheme="minorHAnsi"/>
          <w:color w:val="7030A0"/>
        </w:rPr>
        <w:t>.</w:t>
      </w:r>
      <w:r w:rsidR="00CF2B9C" w:rsidRPr="00012467">
        <w:rPr>
          <w:rFonts w:ascii="Inter" w:hAnsi="Inter" w:cstheme="minorHAnsi"/>
          <w:color w:val="7030A0"/>
        </w:rPr>
        <w:t xml:space="preserve"> This assessment should include all of the key risk factors outlined within LSAG guidance 5.10</w:t>
      </w:r>
      <w:r w:rsidR="00E0348E" w:rsidRPr="00012467">
        <w:rPr>
          <w:rFonts w:ascii="Inter" w:hAnsi="Inter" w:cstheme="minorHAnsi"/>
          <w:color w:val="7030A0"/>
        </w:rPr>
        <w:t xml:space="preserve"> </w:t>
      </w:r>
    </w:p>
    <w:p w14:paraId="49020478" w14:textId="0EDD07ED" w:rsidR="00535F1D" w:rsidRPr="00012467" w:rsidRDefault="00A150A9"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Matter Risk Assessment</w:t>
      </w:r>
      <w:r w:rsidR="00CF2B9C" w:rsidRPr="00012467">
        <w:rPr>
          <w:rFonts w:ascii="Inter" w:hAnsi="Inter" w:cstheme="minorHAnsi"/>
          <w:color w:val="7030A0"/>
        </w:rPr>
        <w:t xml:space="preserve"> (LSAG guidance 5.11)</w:t>
      </w:r>
      <w:r w:rsidRPr="00012467">
        <w:rPr>
          <w:rFonts w:ascii="Inter" w:hAnsi="Inter" w:cstheme="minorHAnsi"/>
          <w:color w:val="7030A0"/>
        </w:rPr>
        <w:t xml:space="preserve"> – a written assessment on each matter undertaken</w:t>
      </w:r>
      <w:r w:rsidR="00CF2B9C" w:rsidRPr="00012467">
        <w:rPr>
          <w:rFonts w:ascii="Inter" w:hAnsi="Inter" w:cstheme="minorHAnsi"/>
          <w:color w:val="7030A0"/>
        </w:rPr>
        <w:t>. This assessment should out line all the key risk factors outlined within LSAG guidance 5.11</w:t>
      </w:r>
    </w:p>
    <w:p w14:paraId="42692300" w14:textId="5FE25E5C" w:rsidR="00A150A9" w:rsidRPr="00012467" w:rsidRDefault="00A150A9"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When/how often</w:t>
      </w:r>
      <w:r w:rsidR="006D4556" w:rsidRPr="00012467">
        <w:rPr>
          <w:rFonts w:ascii="Inter" w:hAnsi="Inter" w:cstheme="minorHAnsi"/>
          <w:color w:val="7030A0"/>
        </w:rPr>
        <w:t>/in what circumstances</w:t>
      </w:r>
      <w:r w:rsidRPr="00012467">
        <w:rPr>
          <w:rFonts w:ascii="Inter" w:hAnsi="Inter" w:cstheme="minorHAnsi"/>
          <w:color w:val="7030A0"/>
        </w:rPr>
        <w:t xml:space="preserve"> is the RA reviewed</w:t>
      </w:r>
      <w:r w:rsidR="006D4556" w:rsidRPr="00012467">
        <w:rPr>
          <w:rFonts w:ascii="Inter" w:hAnsi="Inter" w:cstheme="minorHAnsi"/>
          <w:color w:val="7030A0"/>
        </w:rPr>
        <w:t xml:space="preserve"> through the course of the transaction</w:t>
      </w:r>
      <w:r w:rsidR="002453FE" w:rsidRPr="00012467">
        <w:rPr>
          <w:rFonts w:ascii="Inter" w:hAnsi="Inter" w:cstheme="minorHAnsi"/>
          <w:color w:val="7030A0"/>
        </w:rPr>
        <w:t>?</w:t>
      </w:r>
    </w:p>
    <w:p w14:paraId="509937BB" w14:textId="0F62A9AC" w:rsidR="002453FE" w:rsidRPr="00012467" w:rsidRDefault="002453FE"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 xml:space="preserve">The </w:t>
      </w:r>
      <w:r w:rsidR="00EF5D4E" w:rsidRPr="00012467">
        <w:rPr>
          <w:rFonts w:ascii="Inter" w:hAnsi="Inter" w:cstheme="minorHAnsi"/>
          <w:color w:val="7030A0"/>
        </w:rPr>
        <w:t>Practices</w:t>
      </w:r>
      <w:r w:rsidRPr="00012467">
        <w:rPr>
          <w:rFonts w:ascii="Inter" w:hAnsi="Inter" w:cstheme="minorHAnsi"/>
          <w:color w:val="7030A0"/>
        </w:rPr>
        <w:t xml:space="preserve"> position of risk factors/red flags and what action this leads to. </w:t>
      </w:r>
      <w:r w:rsidR="00AC5243" w:rsidRPr="00012467">
        <w:rPr>
          <w:rFonts w:ascii="Inter" w:hAnsi="Inter" w:cstheme="minorHAnsi"/>
          <w:color w:val="7030A0"/>
        </w:rPr>
        <w:t>E.g.,</w:t>
      </w:r>
      <w:r w:rsidR="0009246F" w:rsidRPr="00012467">
        <w:rPr>
          <w:rFonts w:ascii="Inter" w:hAnsi="Inter" w:cstheme="minorHAnsi"/>
          <w:color w:val="7030A0"/>
        </w:rPr>
        <w:t xml:space="preserve"> what standard of due diligence should be applied</w:t>
      </w:r>
      <w:r w:rsidR="006D4556" w:rsidRPr="00012467">
        <w:rPr>
          <w:rFonts w:ascii="Inter" w:hAnsi="Inter" w:cstheme="minorHAnsi"/>
          <w:color w:val="7030A0"/>
        </w:rPr>
        <w:t xml:space="preserve"> (SDD/CDD/EDD)</w:t>
      </w:r>
      <w:r w:rsidR="0009246F" w:rsidRPr="00012467">
        <w:rPr>
          <w:rFonts w:ascii="Inter" w:hAnsi="Inter" w:cstheme="minorHAnsi"/>
          <w:color w:val="7030A0"/>
        </w:rPr>
        <w:t xml:space="preserve"> and what this entails</w:t>
      </w:r>
    </w:p>
    <w:p w14:paraId="2F701322" w14:textId="68E20EAE" w:rsidR="002453FE" w:rsidRPr="00012467" w:rsidRDefault="002453FE"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 xml:space="preserve">The </w:t>
      </w:r>
      <w:r w:rsidR="00EF5D4E" w:rsidRPr="00012467">
        <w:rPr>
          <w:rFonts w:ascii="Inter" w:hAnsi="Inter" w:cstheme="minorHAnsi"/>
          <w:color w:val="7030A0"/>
        </w:rPr>
        <w:t>Practices</w:t>
      </w:r>
      <w:r w:rsidRPr="00012467">
        <w:rPr>
          <w:rFonts w:ascii="Inter" w:hAnsi="Inter" w:cstheme="minorHAnsi"/>
          <w:color w:val="7030A0"/>
        </w:rPr>
        <w:t xml:space="preserve"> position/policy on international clients/matters</w:t>
      </w:r>
      <w:r w:rsidR="006D4556" w:rsidRPr="00012467">
        <w:rPr>
          <w:rFonts w:ascii="Inter" w:hAnsi="Inter" w:cstheme="minorHAnsi"/>
          <w:color w:val="7030A0"/>
        </w:rPr>
        <w:t xml:space="preserve"> or funds coming in from overseas (particularly locations of increased money laundering risk)</w:t>
      </w:r>
    </w:p>
    <w:p w14:paraId="067BEDE0" w14:textId="2F7E9A87" w:rsidR="002453FE" w:rsidRPr="00012467" w:rsidRDefault="0009246F" w:rsidP="004A06CE">
      <w:pPr>
        <w:pStyle w:val="ListParagraph"/>
        <w:numPr>
          <w:ilvl w:val="0"/>
          <w:numId w:val="4"/>
        </w:numPr>
        <w:spacing w:after="0" w:line="240" w:lineRule="auto"/>
        <w:rPr>
          <w:rFonts w:ascii="Inter" w:hAnsi="Inter" w:cstheme="minorHAnsi"/>
          <w:color w:val="7030A0"/>
        </w:rPr>
      </w:pPr>
      <w:r w:rsidRPr="00012467">
        <w:rPr>
          <w:rFonts w:ascii="Inter" w:hAnsi="Inter" w:cstheme="minorHAnsi"/>
          <w:color w:val="7030A0"/>
        </w:rPr>
        <w:t xml:space="preserve">How </w:t>
      </w:r>
      <w:r w:rsidR="00345952" w:rsidRPr="00012467">
        <w:rPr>
          <w:rFonts w:ascii="Inter" w:hAnsi="Inter" w:cstheme="minorHAnsi"/>
          <w:color w:val="7030A0"/>
        </w:rPr>
        <w:t>these Risk Assessments are</w:t>
      </w:r>
      <w:r w:rsidR="00F12F38" w:rsidRPr="00012467">
        <w:rPr>
          <w:rFonts w:ascii="Inter" w:hAnsi="Inter" w:cstheme="minorHAnsi"/>
          <w:color w:val="7030A0"/>
        </w:rPr>
        <w:t xml:space="preserve"> </w:t>
      </w:r>
      <w:r w:rsidR="00CD419E" w:rsidRPr="00012467">
        <w:rPr>
          <w:rFonts w:ascii="Inter" w:hAnsi="Inter" w:cstheme="minorHAnsi"/>
          <w:color w:val="7030A0"/>
        </w:rPr>
        <w:t>recorded and documented</w:t>
      </w:r>
    </w:p>
    <w:p w14:paraId="46A168EA" w14:textId="77777777" w:rsidR="00F81551" w:rsidRPr="00012467" w:rsidRDefault="00F81551" w:rsidP="00AC5243">
      <w:pPr>
        <w:pStyle w:val="ListParagraph"/>
        <w:spacing w:after="0" w:line="240" w:lineRule="auto"/>
        <w:rPr>
          <w:rFonts w:ascii="Inter" w:hAnsi="Inter" w:cstheme="minorHAnsi"/>
          <w:color w:val="7030A0"/>
        </w:rPr>
      </w:pPr>
    </w:p>
    <w:p w14:paraId="51EF6F88" w14:textId="3A2DF66D" w:rsidR="008F3362" w:rsidRPr="00012467" w:rsidRDefault="008F3362" w:rsidP="00F65226">
      <w:pPr>
        <w:spacing w:after="0" w:line="240" w:lineRule="auto"/>
        <w:rPr>
          <w:rFonts w:ascii="Inter" w:hAnsi="Inter" w:cstheme="minorHAnsi"/>
          <w:i/>
          <w:iCs/>
          <w:color w:val="7030A0"/>
        </w:rPr>
      </w:pPr>
      <w:r w:rsidRPr="00012467">
        <w:rPr>
          <w:rFonts w:ascii="Inter" w:hAnsi="Inter" w:cstheme="minorHAnsi"/>
          <w:i/>
          <w:iCs/>
          <w:color w:val="7030A0"/>
        </w:rPr>
        <w:t xml:space="preserve">The </w:t>
      </w:r>
      <w:r w:rsidR="00336788" w:rsidRPr="00012467">
        <w:rPr>
          <w:rFonts w:ascii="Inter" w:hAnsi="Inter" w:cstheme="minorHAnsi"/>
          <w:i/>
          <w:iCs/>
          <w:color w:val="7030A0"/>
        </w:rPr>
        <w:t>PCP</w:t>
      </w:r>
      <w:r w:rsidR="00F0752E" w:rsidRPr="00012467">
        <w:rPr>
          <w:rFonts w:ascii="Inter" w:hAnsi="Inter" w:cstheme="minorHAnsi"/>
          <w:i/>
          <w:iCs/>
          <w:color w:val="7030A0"/>
        </w:rPr>
        <w:t>s</w:t>
      </w:r>
      <w:r w:rsidRPr="00012467">
        <w:rPr>
          <w:rFonts w:ascii="Inter" w:hAnsi="Inter" w:cstheme="minorHAnsi"/>
          <w:i/>
          <w:iCs/>
          <w:color w:val="7030A0"/>
        </w:rPr>
        <w:t xml:space="preserve"> should </w:t>
      </w:r>
      <w:r w:rsidR="00336788" w:rsidRPr="00012467">
        <w:rPr>
          <w:rFonts w:ascii="Inter" w:hAnsi="Inter" w:cstheme="minorHAnsi"/>
          <w:i/>
          <w:iCs/>
          <w:color w:val="7030A0"/>
        </w:rPr>
        <w:t>make reference to</w:t>
      </w:r>
      <w:r w:rsidRPr="00012467">
        <w:rPr>
          <w:rFonts w:ascii="Inter" w:hAnsi="Inter" w:cstheme="minorHAnsi"/>
          <w:i/>
          <w:iCs/>
          <w:color w:val="7030A0"/>
        </w:rPr>
        <w:t xml:space="preserve"> key flag indicators/risks and detail what employees should look for, </w:t>
      </w:r>
      <w:r w:rsidR="004661AE" w:rsidRPr="00012467">
        <w:rPr>
          <w:rFonts w:ascii="Inter" w:hAnsi="Inter" w:cstheme="minorHAnsi"/>
          <w:i/>
          <w:iCs/>
          <w:color w:val="7030A0"/>
        </w:rPr>
        <w:t>as well as</w:t>
      </w:r>
      <w:r w:rsidRPr="00012467">
        <w:rPr>
          <w:rFonts w:ascii="Inter" w:hAnsi="Inter" w:cstheme="minorHAnsi"/>
          <w:i/>
          <w:iCs/>
          <w:color w:val="7030A0"/>
        </w:rPr>
        <w:t xml:space="preserve"> what </w:t>
      </w:r>
      <w:r w:rsidR="00336788" w:rsidRPr="00012467">
        <w:rPr>
          <w:rFonts w:ascii="Inter" w:hAnsi="Inter" w:cstheme="minorHAnsi"/>
          <w:i/>
          <w:iCs/>
          <w:color w:val="7030A0"/>
        </w:rPr>
        <w:t>steps</w:t>
      </w:r>
      <w:r w:rsidRPr="00012467">
        <w:rPr>
          <w:rFonts w:ascii="Inter" w:hAnsi="Inter" w:cstheme="minorHAnsi"/>
          <w:i/>
          <w:iCs/>
          <w:color w:val="7030A0"/>
        </w:rPr>
        <w:t xml:space="preserve"> should</w:t>
      </w:r>
      <w:r w:rsidR="00336788" w:rsidRPr="00012467">
        <w:rPr>
          <w:rFonts w:ascii="Inter" w:hAnsi="Inter" w:cstheme="minorHAnsi"/>
          <w:i/>
          <w:iCs/>
          <w:color w:val="7030A0"/>
        </w:rPr>
        <w:t xml:space="preserve"> be taken</w:t>
      </w:r>
      <w:r w:rsidRPr="00012467">
        <w:rPr>
          <w:rFonts w:ascii="Inter" w:hAnsi="Inter" w:cstheme="minorHAnsi"/>
          <w:i/>
          <w:iCs/>
          <w:color w:val="7030A0"/>
        </w:rPr>
        <w:t xml:space="preserve"> do to mitigate against these red flags</w:t>
      </w:r>
      <w:r w:rsidR="00336788" w:rsidRPr="00012467">
        <w:rPr>
          <w:rFonts w:ascii="Inter" w:hAnsi="Inter" w:cstheme="minorHAnsi"/>
          <w:i/>
          <w:iCs/>
          <w:color w:val="7030A0"/>
        </w:rPr>
        <w:t>/risks</w:t>
      </w:r>
      <w:r w:rsidRPr="00012467">
        <w:rPr>
          <w:rFonts w:ascii="Inter" w:hAnsi="Inter" w:cstheme="minorHAnsi"/>
          <w:i/>
          <w:iCs/>
          <w:color w:val="7030A0"/>
        </w:rPr>
        <w:t xml:space="preserve">. </w:t>
      </w:r>
      <w:r w:rsidR="005B2E55" w:rsidRPr="00012467">
        <w:rPr>
          <w:rFonts w:ascii="Inter" w:hAnsi="Inter" w:cstheme="minorHAnsi"/>
          <w:i/>
          <w:iCs/>
          <w:color w:val="7030A0"/>
        </w:rPr>
        <w:t xml:space="preserve">Please see LSAG guidance section 18.2 for assistance with this. </w:t>
      </w:r>
    </w:p>
    <w:p w14:paraId="36B12449" w14:textId="108CBDA7" w:rsidR="0009246F" w:rsidRPr="00012467" w:rsidRDefault="0009246F" w:rsidP="00F65226">
      <w:pPr>
        <w:spacing w:after="0" w:line="240" w:lineRule="auto"/>
        <w:rPr>
          <w:rFonts w:ascii="Inter" w:hAnsi="Inter" w:cstheme="minorHAnsi"/>
        </w:rPr>
      </w:pPr>
    </w:p>
    <w:p w14:paraId="025468FE" w14:textId="2D91828C" w:rsidR="0009246F" w:rsidRPr="00012467" w:rsidRDefault="0009246F" w:rsidP="00F65226">
      <w:pPr>
        <w:pStyle w:val="Heading1"/>
        <w:spacing w:before="0" w:line="240" w:lineRule="auto"/>
        <w:rPr>
          <w:rFonts w:ascii="Inter" w:hAnsi="Inter" w:cstheme="minorHAnsi"/>
          <w:sz w:val="18"/>
          <w:szCs w:val="18"/>
          <w:u w:val="single"/>
        </w:rPr>
      </w:pPr>
      <w:bookmarkStart w:id="8" w:name="_Toc126840560"/>
      <w:r w:rsidRPr="00012467">
        <w:rPr>
          <w:rFonts w:ascii="Inter" w:hAnsi="Inter" w:cstheme="minorHAnsi"/>
          <w:u w:val="single"/>
        </w:rPr>
        <w:t>Client Due Diligence</w:t>
      </w:r>
      <w:bookmarkEnd w:id="8"/>
      <w:r w:rsidRPr="00012467">
        <w:rPr>
          <w:rFonts w:ascii="Inter" w:hAnsi="Inter" w:cstheme="minorHAnsi"/>
          <w:u w:val="single"/>
        </w:rPr>
        <w:t xml:space="preserve"> </w:t>
      </w:r>
      <w:r w:rsidR="00A37965" w:rsidRPr="00012467">
        <w:rPr>
          <w:rFonts w:ascii="Inter" w:hAnsi="Inter" w:cstheme="minorHAnsi"/>
          <w:u w:val="single"/>
        </w:rPr>
        <w:br/>
      </w:r>
    </w:p>
    <w:p w14:paraId="73F0A8EE" w14:textId="4CB299B1" w:rsidR="00322C8C" w:rsidRPr="00012467" w:rsidRDefault="00322C8C" w:rsidP="00F65226">
      <w:pPr>
        <w:spacing w:after="0" w:line="240" w:lineRule="auto"/>
        <w:rPr>
          <w:rFonts w:ascii="Inter" w:hAnsi="Inter"/>
          <w:b/>
          <w:bCs/>
        </w:rPr>
      </w:pPr>
      <w:r w:rsidRPr="00012467">
        <w:rPr>
          <w:rFonts w:ascii="Inter" w:hAnsi="Inter"/>
          <w:b/>
          <w:bCs/>
        </w:rPr>
        <w:t>LSAG guidance section 6</w:t>
      </w:r>
    </w:p>
    <w:p w14:paraId="3D1C5396" w14:textId="77777777" w:rsidR="00F07395" w:rsidRPr="00012467" w:rsidRDefault="00F07395" w:rsidP="00F65226">
      <w:pPr>
        <w:spacing w:after="0" w:line="240" w:lineRule="auto"/>
        <w:rPr>
          <w:rFonts w:ascii="Inter" w:hAnsi="Inter" w:cstheme="minorHAnsi"/>
        </w:rPr>
      </w:pPr>
    </w:p>
    <w:p w14:paraId="48C1F98A" w14:textId="7E3BE746" w:rsidR="00CD419E" w:rsidRPr="00012467" w:rsidRDefault="00CD419E" w:rsidP="00F65226">
      <w:pPr>
        <w:spacing w:after="0" w:line="240" w:lineRule="auto"/>
        <w:rPr>
          <w:rFonts w:ascii="Inter" w:hAnsi="Inter" w:cstheme="minorHAnsi"/>
        </w:rPr>
      </w:pPr>
      <w:r w:rsidRPr="00012467">
        <w:rPr>
          <w:rFonts w:ascii="Inter" w:hAnsi="Inter" w:cstheme="minorHAnsi"/>
        </w:rPr>
        <w:t xml:space="preserve">Undertaking appropriate </w:t>
      </w:r>
      <w:r w:rsidR="001170C2" w:rsidRPr="00012467">
        <w:rPr>
          <w:rFonts w:ascii="Inter" w:hAnsi="Inter" w:cstheme="minorHAnsi"/>
        </w:rPr>
        <w:t>Customer</w:t>
      </w:r>
      <w:r w:rsidRPr="00012467">
        <w:rPr>
          <w:rFonts w:ascii="Inter" w:hAnsi="Inter" w:cstheme="minorHAnsi"/>
        </w:rPr>
        <w:t xml:space="preserve"> Due Diligence (CDD) is required </w:t>
      </w:r>
      <w:r w:rsidR="00A84B0E" w:rsidRPr="00012467">
        <w:rPr>
          <w:rFonts w:ascii="Inter" w:hAnsi="Inter" w:cstheme="minorHAnsi"/>
        </w:rPr>
        <w:t xml:space="preserve">under </w:t>
      </w:r>
      <w:r w:rsidR="00F0752E" w:rsidRPr="00012467">
        <w:rPr>
          <w:rFonts w:ascii="Inter" w:hAnsi="Inter" w:cstheme="minorHAnsi"/>
        </w:rPr>
        <w:t>R</w:t>
      </w:r>
      <w:r w:rsidR="00D35649" w:rsidRPr="00012467">
        <w:rPr>
          <w:rFonts w:ascii="Inter" w:hAnsi="Inter" w:cstheme="minorHAnsi"/>
        </w:rPr>
        <w:t>.</w:t>
      </w:r>
      <w:r w:rsidRPr="00012467">
        <w:rPr>
          <w:rFonts w:ascii="Inter" w:hAnsi="Inter" w:cstheme="minorHAnsi"/>
        </w:rPr>
        <w:t>27</w:t>
      </w:r>
      <w:r w:rsidR="006A1E53" w:rsidRPr="00012467">
        <w:rPr>
          <w:rFonts w:ascii="Inter" w:hAnsi="Inter" w:cstheme="minorHAnsi"/>
        </w:rPr>
        <w:t xml:space="preserve"> and </w:t>
      </w:r>
      <w:r w:rsidR="00F0752E" w:rsidRPr="00012467">
        <w:rPr>
          <w:rFonts w:ascii="Inter" w:hAnsi="Inter" w:cstheme="minorHAnsi"/>
        </w:rPr>
        <w:t>R</w:t>
      </w:r>
      <w:r w:rsidR="00D35649" w:rsidRPr="00012467">
        <w:rPr>
          <w:rFonts w:ascii="Inter" w:hAnsi="Inter" w:cstheme="minorHAnsi"/>
        </w:rPr>
        <w:t>.</w:t>
      </w:r>
      <w:r w:rsidR="00865B61" w:rsidRPr="00012467">
        <w:rPr>
          <w:rFonts w:ascii="Inter" w:hAnsi="Inter" w:cstheme="minorHAnsi"/>
        </w:rPr>
        <w:t>28</w:t>
      </w:r>
      <w:r w:rsidR="00D35649" w:rsidRPr="00012467">
        <w:rPr>
          <w:rFonts w:ascii="Inter" w:hAnsi="Inter" w:cstheme="minorHAnsi"/>
        </w:rPr>
        <w:t>.This</w:t>
      </w:r>
      <w:r w:rsidRPr="00012467">
        <w:rPr>
          <w:rFonts w:ascii="Inter" w:hAnsi="Inter" w:cstheme="minorHAnsi"/>
        </w:rPr>
        <w:t xml:space="preserve"> is one of the key controls </w:t>
      </w:r>
      <w:r w:rsidR="00D35649" w:rsidRPr="00012467">
        <w:rPr>
          <w:rFonts w:ascii="Inter" w:hAnsi="Inter" w:cstheme="minorHAnsi"/>
        </w:rPr>
        <w:t>in order</w:t>
      </w:r>
      <w:r w:rsidRPr="00012467">
        <w:rPr>
          <w:rFonts w:ascii="Inter" w:hAnsi="Inter" w:cstheme="minorHAnsi"/>
        </w:rPr>
        <w:t xml:space="preserve"> to protect </w:t>
      </w:r>
      <w:r w:rsidR="00D35649" w:rsidRPr="00012467">
        <w:rPr>
          <w:rFonts w:ascii="Inter" w:hAnsi="Inter" w:cstheme="minorHAnsi"/>
        </w:rPr>
        <w:t>the Practice</w:t>
      </w:r>
      <w:r w:rsidRPr="00012467">
        <w:rPr>
          <w:rFonts w:ascii="Inter" w:hAnsi="Inter" w:cstheme="minorHAnsi"/>
        </w:rPr>
        <w:t xml:space="preserve"> from Money Laundering and Terrorist Financing risks.</w:t>
      </w:r>
    </w:p>
    <w:p w14:paraId="05A38C4C" w14:textId="77777777" w:rsidR="00F07395" w:rsidRPr="00012467" w:rsidRDefault="00F07395" w:rsidP="00F65226">
      <w:pPr>
        <w:spacing w:after="0" w:line="240" w:lineRule="auto"/>
        <w:rPr>
          <w:rFonts w:ascii="Inter" w:hAnsi="Inter" w:cstheme="minorHAnsi"/>
        </w:rPr>
      </w:pPr>
    </w:p>
    <w:p w14:paraId="48F6E7E6" w14:textId="77777777" w:rsidR="00F12F38" w:rsidRPr="00012467" w:rsidRDefault="00CD419E" w:rsidP="00F65226">
      <w:pPr>
        <w:spacing w:after="0" w:line="240" w:lineRule="auto"/>
        <w:rPr>
          <w:rFonts w:ascii="Inter" w:hAnsi="Inter" w:cstheme="minorHAnsi"/>
        </w:rPr>
      </w:pPr>
      <w:r w:rsidRPr="00012467">
        <w:rPr>
          <w:rFonts w:ascii="Inter" w:hAnsi="Inter" w:cstheme="minorHAnsi"/>
        </w:rPr>
        <w:t xml:space="preserve">CDD is the collective term for the checks we must </w:t>
      </w:r>
      <w:r w:rsidR="00D35649" w:rsidRPr="00012467">
        <w:rPr>
          <w:rFonts w:ascii="Inter" w:hAnsi="Inter" w:cstheme="minorHAnsi"/>
        </w:rPr>
        <w:t>complete</w:t>
      </w:r>
      <w:r w:rsidRPr="00012467">
        <w:rPr>
          <w:rFonts w:ascii="Inter" w:hAnsi="Inter" w:cstheme="minorHAnsi"/>
        </w:rPr>
        <w:t xml:space="preserve"> on our clients, which may differ depending on the circumstances. </w:t>
      </w:r>
    </w:p>
    <w:p w14:paraId="6E6DACB4" w14:textId="77777777" w:rsidR="00F12F38" w:rsidRPr="00012467" w:rsidRDefault="00F12F38" w:rsidP="00F65226">
      <w:pPr>
        <w:spacing w:after="0" w:line="240" w:lineRule="auto"/>
        <w:rPr>
          <w:rFonts w:ascii="Inter" w:hAnsi="Inter" w:cstheme="minorHAnsi"/>
        </w:rPr>
      </w:pPr>
    </w:p>
    <w:p w14:paraId="5E054A4C" w14:textId="094EA90B" w:rsidR="00CD419E" w:rsidRPr="00012467" w:rsidRDefault="00CD419E" w:rsidP="00F0752E">
      <w:pPr>
        <w:spacing w:after="0" w:line="240" w:lineRule="auto"/>
        <w:jc w:val="center"/>
        <w:rPr>
          <w:rFonts w:ascii="Inter" w:hAnsi="Inter" w:cstheme="minorHAnsi"/>
        </w:rPr>
      </w:pPr>
      <w:r w:rsidRPr="00012467">
        <w:rPr>
          <w:rFonts w:ascii="Inter" w:hAnsi="Inter" w:cstheme="minorHAnsi"/>
          <w:b/>
          <w:bCs/>
          <w:u w:val="single"/>
        </w:rPr>
        <w:t xml:space="preserve">CDD is holistic in nature and is wider than simply undertaking </w:t>
      </w:r>
      <w:r w:rsidR="004E2E7C" w:rsidRPr="00012467">
        <w:rPr>
          <w:rFonts w:ascii="Inter" w:hAnsi="Inter" w:cstheme="minorHAnsi"/>
          <w:b/>
          <w:bCs/>
          <w:u w:val="single"/>
        </w:rPr>
        <w:t>identification and verification</w:t>
      </w:r>
      <w:r w:rsidRPr="00012467">
        <w:rPr>
          <w:rFonts w:ascii="Inter" w:hAnsi="Inter" w:cstheme="minorHAnsi"/>
          <w:b/>
          <w:bCs/>
          <w:u w:val="single"/>
        </w:rPr>
        <w:t xml:space="preserve"> of clients</w:t>
      </w:r>
      <w:r w:rsidRPr="00012467">
        <w:rPr>
          <w:rFonts w:ascii="Inter" w:hAnsi="Inter" w:cstheme="minorHAnsi"/>
          <w:u w:val="single"/>
        </w:rPr>
        <w:t>.</w:t>
      </w:r>
    </w:p>
    <w:p w14:paraId="27586C24" w14:textId="77777777" w:rsidR="00F07395" w:rsidRPr="00012467" w:rsidRDefault="00F07395" w:rsidP="00F65226">
      <w:pPr>
        <w:spacing w:after="0" w:line="240" w:lineRule="auto"/>
        <w:rPr>
          <w:rFonts w:ascii="Inter" w:hAnsi="Inter" w:cstheme="minorHAnsi"/>
        </w:rPr>
      </w:pPr>
    </w:p>
    <w:p w14:paraId="78598A9B" w14:textId="129B5A1D" w:rsidR="00CD419E" w:rsidRPr="00012467" w:rsidRDefault="00917EEC" w:rsidP="00F65226">
      <w:pPr>
        <w:spacing w:after="0" w:line="240" w:lineRule="auto"/>
        <w:rPr>
          <w:rFonts w:ascii="Inter" w:hAnsi="Inter" w:cstheme="minorHAnsi"/>
        </w:rPr>
      </w:pPr>
      <w:r w:rsidRPr="00012467">
        <w:rPr>
          <w:rFonts w:ascii="Inter" w:hAnsi="Inter" w:cstheme="minorHAnsi"/>
        </w:rPr>
        <w:t>Key</w:t>
      </w:r>
      <w:r w:rsidR="00CD419E" w:rsidRPr="00012467">
        <w:rPr>
          <w:rFonts w:ascii="Inter" w:hAnsi="Inter" w:cstheme="minorHAnsi"/>
        </w:rPr>
        <w:t xml:space="preserve"> information </w:t>
      </w:r>
      <w:r w:rsidR="00D35649" w:rsidRPr="00012467">
        <w:rPr>
          <w:rFonts w:ascii="Inter" w:hAnsi="Inter" w:cstheme="minorHAnsi"/>
        </w:rPr>
        <w:t>regarding</w:t>
      </w:r>
      <w:r w:rsidR="00CD419E" w:rsidRPr="00012467">
        <w:rPr>
          <w:rFonts w:ascii="Inter" w:hAnsi="Inter" w:cstheme="minorHAnsi"/>
        </w:rPr>
        <w:t xml:space="preserve"> understanding the nature and purpose of a relationship may include</w:t>
      </w:r>
      <w:r w:rsidR="00865B61" w:rsidRPr="00012467">
        <w:rPr>
          <w:rFonts w:ascii="Inter" w:hAnsi="Inter" w:cstheme="minorHAnsi"/>
        </w:rPr>
        <w:t>:</w:t>
      </w:r>
    </w:p>
    <w:p w14:paraId="6319BE7A" w14:textId="77777777" w:rsidR="00F07395" w:rsidRPr="00012467" w:rsidRDefault="00F07395" w:rsidP="00F65226">
      <w:pPr>
        <w:spacing w:after="0" w:line="240" w:lineRule="auto"/>
        <w:rPr>
          <w:rFonts w:ascii="Inter" w:hAnsi="Inter" w:cstheme="minorHAnsi"/>
        </w:rPr>
      </w:pPr>
    </w:p>
    <w:p w14:paraId="5893FD7C" w14:textId="29CF364C" w:rsidR="00CD419E" w:rsidRPr="00012467" w:rsidRDefault="00CD419E" w:rsidP="004A06CE">
      <w:pPr>
        <w:pStyle w:val="ListParagraph"/>
        <w:numPr>
          <w:ilvl w:val="0"/>
          <w:numId w:val="9"/>
        </w:numPr>
        <w:spacing w:after="0" w:line="240" w:lineRule="auto"/>
        <w:rPr>
          <w:rFonts w:ascii="Inter" w:hAnsi="Inter" w:cstheme="minorHAnsi"/>
        </w:rPr>
      </w:pPr>
      <w:r w:rsidRPr="00012467">
        <w:rPr>
          <w:rFonts w:ascii="Inter" w:hAnsi="Inter" w:cstheme="minorHAnsi"/>
        </w:rPr>
        <w:t>The nature and details of the business/occupation/employment</w:t>
      </w:r>
    </w:p>
    <w:p w14:paraId="0D62BADC" w14:textId="5EA5F16E" w:rsidR="00CD419E" w:rsidRPr="00012467" w:rsidRDefault="00CD419E" w:rsidP="004A06CE">
      <w:pPr>
        <w:pStyle w:val="ListParagraph"/>
        <w:numPr>
          <w:ilvl w:val="0"/>
          <w:numId w:val="9"/>
        </w:numPr>
        <w:spacing w:after="0" w:line="240" w:lineRule="auto"/>
        <w:rPr>
          <w:rFonts w:ascii="Inter" w:hAnsi="Inter" w:cstheme="minorHAnsi"/>
        </w:rPr>
      </w:pPr>
      <w:r w:rsidRPr="00012467">
        <w:rPr>
          <w:rFonts w:ascii="Inter" w:hAnsi="Inter" w:cstheme="minorHAnsi"/>
        </w:rPr>
        <w:t>Source of funds and source of wealth information</w:t>
      </w:r>
    </w:p>
    <w:p w14:paraId="6110457E" w14:textId="55FD4D91" w:rsidR="0009246F" w:rsidRPr="00012467" w:rsidRDefault="00CD419E" w:rsidP="004A06CE">
      <w:pPr>
        <w:pStyle w:val="ListParagraph"/>
        <w:numPr>
          <w:ilvl w:val="0"/>
          <w:numId w:val="9"/>
        </w:numPr>
        <w:spacing w:after="0" w:line="240" w:lineRule="auto"/>
        <w:rPr>
          <w:rFonts w:ascii="Inter" w:hAnsi="Inter" w:cstheme="minorHAnsi"/>
        </w:rPr>
      </w:pPr>
      <w:r w:rsidRPr="00012467">
        <w:rPr>
          <w:rFonts w:ascii="Inter" w:hAnsi="Inter" w:cstheme="minorHAnsi"/>
        </w:rPr>
        <w:t>Anticipated levels and nature of activity to be conducted</w:t>
      </w:r>
    </w:p>
    <w:p w14:paraId="295762A2" w14:textId="77777777" w:rsidR="00F07395" w:rsidRPr="00012467" w:rsidRDefault="00F07395" w:rsidP="00F65226">
      <w:pPr>
        <w:spacing w:after="0" w:line="240" w:lineRule="auto"/>
        <w:rPr>
          <w:rFonts w:ascii="Inter" w:hAnsi="Inter" w:cstheme="minorHAnsi"/>
          <w:color w:val="7030A0"/>
        </w:rPr>
      </w:pPr>
    </w:p>
    <w:p w14:paraId="7195A4BD" w14:textId="334839C5" w:rsidR="00B30E25" w:rsidRPr="00012467" w:rsidRDefault="00D35649" w:rsidP="00F65226">
      <w:pPr>
        <w:spacing w:after="0" w:line="240" w:lineRule="auto"/>
        <w:rPr>
          <w:rFonts w:ascii="Inter" w:hAnsi="Inter" w:cstheme="minorHAnsi"/>
          <w:b/>
          <w:bCs/>
        </w:rPr>
      </w:pPr>
      <w:r w:rsidRPr="00012467">
        <w:rPr>
          <w:rFonts w:ascii="Inter" w:hAnsi="Inter" w:cstheme="minorHAnsi"/>
          <w:b/>
          <w:bCs/>
        </w:rPr>
        <w:t xml:space="preserve"> </w:t>
      </w:r>
      <w:r w:rsidR="00B30E25" w:rsidRPr="00012467">
        <w:rPr>
          <w:rFonts w:ascii="Inter" w:hAnsi="Inter" w:cstheme="minorHAnsi"/>
          <w:b/>
          <w:bCs/>
        </w:rPr>
        <w:t xml:space="preserve">The </w:t>
      </w:r>
      <w:r w:rsidRPr="00012467">
        <w:rPr>
          <w:rFonts w:ascii="Inter" w:hAnsi="Inter" w:cstheme="minorHAnsi"/>
          <w:b/>
          <w:bCs/>
        </w:rPr>
        <w:t>individual</w:t>
      </w:r>
      <w:r w:rsidR="00B30E25" w:rsidRPr="00012467">
        <w:rPr>
          <w:rFonts w:ascii="Inter" w:hAnsi="Inter" w:cstheme="minorHAnsi"/>
          <w:b/>
          <w:bCs/>
        </w:rPr>
        <w:t xml:space="preserve"> responsible for collecting CDD should detail the background and nature of the client </w:t>
      </w:r>
      <w:r w:rsidRPr="00012467">
        <w:rPr>
          <w:rFonts w:ascii="Inter" w:hAnsi="Inter" w:cstheme="minorHAnsi"/>
          <w:b/>
          <w:bCs/>
        </w:rPr>
        <w:t>and</w:t>
      </w:r>
      <w:r w:rsidR="00B30E25" w:rsidRPr="00012467">
        <w:rPr>
          <w:rFonts w:ascii="Inter" w:hAnsi="Inter" w:cstheme="minorHAnsi"/>
          <w:b/>
          <w:bCs/>
        </w:rPr>
        <w:t xml:space="preserve"> the matter. </w:t>
      </w:r>
    </w:p>
    <w:p w14:paraId="5C9A403B" w14:textId="77777777" w:rsidR="00F07395" w:rsidRPr="00012467" w:rsidRDefault="00F07395" w:rsidP="00F65226">
      <w:pPr>
        <w:spacing w:after="0" w:line="240" w:lineRule="auto"/>
        <w:rPr>
          <w:rFonts w:ascii="Inter" w:hAnsi="Inter" w:cstheme="minorHAnsi"/>
          <w:color w:val="7030A0"/>
        </w:rPr>
      </w:pPr>
    </w:p>
    <w:p w14:paraId="5CE9D574" w14:textId="026E145B" w:rsidR="004D3788" w:rsidRPr="00012467" w:rsidRDefault="004D3788" w:rsidP="00F65226">
      <w:pPr>
        <w:spacing w:after="0" w:line="240" w:lineRule="auto"/>
        <w:rPr>
          <w:rFonts w:ascii="Inter" w:hAnsi="Inter" w:cstheme="minorHAnsi"/>
          <w:color w:val="7030A0"/>
        </w:rPr>
      </w:pPr>
      <w:r w:rsidRPr="00012467">
        <w:rPr>
          <w:rFonts w:ascii="Inter" w:hAnsi="Inter" w:cstheme="minorHAnsi"/>
          <w:color w:val="7030A0"/>
        </w:rPr>
        <w:lastRenderedPageBreak/>
        <w:t xml:space="preserve">In this section you </w:t>
      </w:r>
      <w:r w:rsidRPr="00012467">
        <w:rPr>
          <w:rFonts w:ascii="Inter" w:hAnsi="Inter" w:cstheme="minorHAnsi"/>
          <w:b/>
          <w:bCs/>
          <w:color w:val="7030A0"/>
          <w:u w:val="single"/>
        </w:rPr>
        <w:t>must</w:t>
      </w:r>
      <w:r w:rsidRPr="00012467">
        <w:rPr>
          <w:rFonts w:ascii="Inter" w:hAnsi="Inter" w:cstheme="minorHAnsi"/>
          <w:color w:val="7030A0"/>
        </w:rPr>
        <w:t xml:space="preserve"> document the Practices PCPs which cover the below points:</w:t>
      </w:r>
    </w:p>
    <w:p w14:paraId="540F8CF9" w14:textId="77777777" w:rsidR="00F07395" w:rsidRPr="00012467" w:rsidRDefault="00F07395" w:rsidP="00F65226">
      <w:pPr>
        <w:spacing w:after="0" w:line="240" w:lineRule="auto"/>
        <w:rPr>
          <w:rFonts w:ascii="Inter" w:hAnsi="Inter" w:cstheme="minorHAnsi"/>
          <w:color w:val="7030A0"/>
        </w:rPr>
      </w:pPr>
    </w:p>
    <w:p w14:paraId="41EBDBF5" w14:textId="633E7278" w:rsidR="0009246F" w:rsidRPr="00012467" w:rsidRDefault="0009246F"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 xml:space="preserve">CDD procedures </w:t>
      </w:r>
      <w:r w:rsidR="00855FBF" w:rsidRPr="00012467">
        <w:rPr>
          <w:rFonts w:ascii="Inter" w:hAnsi="Inter" w:cstheme="minorHAnsi"/>
          <w:color w:val="7030A0"/>
        </w:rPr>
        <w:t>(including procedures to identify the ownership and control structures of non-natural persons)</w:t>
      </w:r>
    </w:p>
    <w:p w14:paraId="6DBA51F0" w14:textId="3917475E" w:rsidR="00855FBF" w:rsidRPr="00012467" w:rsidRDefault="00855FBF"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ID&amp;V procedures in relation to the Ultimate beneficial owners of non-natural clients</w:t>
      </w:r>
      <w:r w:rsidR="00D1347F" w:rsidRPr="00012467">
        <w:rPr>
          <w:rFonts w:ascii="Inter" w:hAnsi="Inter" w:cstheme="minorHAnsi"/>
          <w:color w:val="7030A0"/>
        </w:rPr>
        <w:t xml:space="preserve"> </w:t>
      </w:r>
      <w:r w:rsidR="00F12F38" w:rsidRPr="00012467">
        <w:rPr>
          <w:rFonts w:ascii="Inter" w:hAnsi="Inter" w:cstheme="minorHAnsi"/>
          <w:color w:val="7030A0"/>
        </w:rPr>
        <w:t>(</w:t>
      </w:r>
      <w:r w:rsidRPr="00012467">
        <w:rPr>
          <w:rFonts w:ascii="Inter" w:hAnsi="Inter" w:cstheme="minorHAnsi"/>
          <w:color w:val="7030A0"/>
        </w:rPr>
        <w:t>and those purporting to act on behalf of a client)</w:t>
      </w:r>
    </w:p>
    <w:p w14:paraId="741B50F8" w14:textId="6476E1CB" w:rsidR="00855FBF" w:rsidRPr="00012467" w:rsidRDefault="00855FBF"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 xml:space="preserve">Procedures to facilitate </w:t>
      </w:r>
      <w:r w:rsidR="007170B7" w:rsidRPr="00012467">
        <w:rPr>
          <w:rFonts w:ascii="Inter" w:hAnsi="Inter" w:cstheme="minorHAnsi"/>
          <w:color w:val="7030A0"/>
        </w:rPr>
        <w:t>a clear understanding of the client’s source of funds (SoF) and source of wealth (SoW) in relation to a transaction and the level of evidence required, in line with the risk profile of the client/matter</w:t>
      </w:r>
    </w:p>
    <w:p w14:paraId="59CF208F" w14:textId="4A27F5CD" w:rsidR="007170B7" w:rsidRPr="00012467" w:rsidRDefault="007170B7"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Procedures to facilitate reporting of discrepancies between Beneficial Ownership information obtained through DD checks and what is held on the Companies House register</w:t>
      </w:r>
      <w:r w:rsidR="00CF1FC6" w:rsidRPr="00012467">
        <w:rPr>
          <w:rFonts w:ascii="Inter" w:hAnsi="Inter" w:cstheme="minorHAnsi"/>
          <w:color w:val="7030A0"/>
        </w:rPr>
        <w:t xml:space="preserve"> (R.30A)</w:t>
      </w:r>
    </w:p>
    <w:p w14:paraId="3783E356" w14:textId="30B32A71" w:rsidR="007170B7" w:rsidRPr="00012467" w:rsidRDefault="007170B7"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The practice’s position on the use and application of Simplified Due Diligence</w:t>
      </w:r>
    </w:p>
    <w:p w14:paraId="646FFB27" w14:textId="73ADB842" w:rsidR="007170B7" w:rsidRPr="00012467" w:rsidRDefault="007170B7"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The timing of any due diligence procedures</w:t>
      </w:r>
    </w:p>
    <w:p w14:paraId="6A82C073" w14:textId="3A1CB6D0" w:rsidR="007170B7" w:rsidRPr="00012467" w:rsidRDefault="00B11C6D"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 xml:space="preserve">The practice’s position on the use of R.39 Reliance and any related procedures </w:t>
      </w:r>
    </w:p>
    <w:p w14:paraId="7A9E13F7" w14:textId="47955AEB" w:rsidR="00B11C6D" w:rsidRPr="00012467" w:rsidRDefault="00B11C6D"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The ongoing monitoring of clients and their matters</w:t>
      </w:r>
    </w:p>
    <w:p w14:paraId="47CDCB14" w14:textId="0AFE2CE8" w:rsidR="00B11C6D" w:rsidRPr="00012467" w:rsidRDefault="00B11C6D"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The identification of instances where it is required or appropriate to re-apply or renew CDD or EDD on a client</w:t>
      </w:r>
    </w:p>
    <w:p w14:paraId="5A8A84B7" w14:textId="60C86997" w:rsidR="00B11C6D" w:rsidRPr="00012467" w:rsidRDefault="00B11C6D"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Identification and scrutiny of any complex or unusually large transactions</w:t>
      </w:r>
      <w:r w:rsidR="00E247F4" w:rsidRPr="00012467">
        <w:rPr>
          <w:rFonts w:ascii="Inter" w:hAnsi="Inter" w:cstheme="minorHAnsi"/>
          <w:color w:val="7030A0"/>
        </w:rPr>
        <w:t>, or an unusual pattern of transactions, or those which serve no apparent economic or legal purpose</w:t>
      </w:r>
    </w:p>
    <w:p w14:paraId="695EB646" w14:textId="45D2091B" w:rsidR="00E247F4" w:rsidRPr="00012467" w:rsidRDefault="00E247F4"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Any additional measures to prevent products/transactions that support anonymity being used for ML/TF</w:t>
      </w:r>
    </w:p>
    <w:p w14:paraId="461C3D6F" w14:textId="77777777" w:rsidR="00041B52" w:rsidRPr="00012467" w:rsidRDefault="00E247F4"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Identification of PEP’s, their relatives or close associates and the control of any associated risks</w:t>
      </w:r>
    </w:p>
    <w:p w14:paraId="3949B515" w14:textId="02D24460" w:rsidR="00CF508B" w:rsidRPr="00012467" w:rsidRDefault="00CF508B" w:rsidP="004A06CE">
      <w:pPr>
        <w:pStyle w:val="ListParagraph"/>
        <w:numPr>
          <w:ilvl w:val="0"/>
          <w:numId w:val="5"/>
        </w:numPr>
        <w:spacing w:after="0" w:line="240" w:lineRule="auto"/>
        <w:rPr>
          <w:rFonts w:ascii="Inter" w:hAnsi="Inter" w:cstheme="minorHAnsi"/>
          <w:color w:val="7030A0"/>
        </w:rPr>
      </w:pPr>
      <w:r w:rsidRPr="00012467">
        <w:rPr>
          <w:rFonts w:ascii="Inter" w:hAnsi="Inter" w:cstheme="minorHAnsi"/>
          <w:color w:val="7030A0"/>
        </w:rPr>
        <w:t xml:space="preserve">Procedures which detail the </w:t>
      </w:r>
      <w:r w:rsidR="00EC3DA9" w:rsidRPr="00012467">
        <w:rPr>
          <w:rFonts w:ascii="Inter" w:hAnsi="Inter" w:cstheme="minorHAnsi"/>
          <w:color w:val="7030A0"/>
        </w:rPr>
        <w:t xml:space="preserve">practices approach to the return of un-solicited or apparently accidentally deposited funds to the client account </w:t>
      </w:r>
    </w:p>
    <w:p w14:paraId="694D012F" w14:textId="77777777" w:rsidR="004E2E7C" w:rsidRPr="00012467" w:rsidRDefault="004E2E7C" w:rsidP="00F65226">
      <w:pPr>
        <w:spacing w:after="0" w:line="240" w:lineRule="auto"/>
        <w:rPr>
          <w:rFonts w:ascii="Inter" w:hAnsi="Inter" w:cstheme="minorHAnsi"/>
          <w:color w:val="7030A0"/>
        </w:rPr>
      </w:pPr>
    </w:p>
    <w:p w14:paraId="76366F32" w14:textId="1424F80F" w:rsidR="002911E4" w:rsidRPr="00012467" w:rsidRDefault="002911E4" w:rsidP="00F65226">
      <w:pPr>
        <w:spacing w:after="0" w:line="240" w:lineRule="auto"/>
        <w:rPr>
          <w:rFonts w:ascii="Inter" w:hAnsi="Inter" w:cstheme="minorHAnsi"/>
          <w:color w:val="7030A0"/>
        </w:rPr>
      </w:pPr>
      <w:r w:rsidRPr="00012467">
        <w:rPr>
          <w:rFonts w:ascii="Inter" w:hAnsi="Inter" w:cstheme="minorHAnsi"/>
          <w:color w:val="7030A0"/>
        </w:rPr>
        <w:t>Specific</w:t>
      </w:r>
      <w:r w:rsidR="00173128" w:rsidRPr="00012467">
        <w:rPr>
          <w:rFonts w:ascii="Inter" w:hAnsi="Inter" w:cstheme="minorHAnsi"/>
          <w:color w:val="7030A0"/>
        </w:rPr>
        <w:t xml:space="preserve"> CDD/</w:t>
      </w:r>
      <w:r w:rsidRPr="00012467">
        <w:rPr>
          <w:rFonts w:ascii="Inter" w:hAnsi="Inter" w:cstheme="minorHAnsi"/>
          <w:color w:val="7030A0"/>
        </w:rPr>
        <w:t>ID&amp;V measures should also be set out</w:t>
      </w:r>
      <w:r w:rsidR="00081825" w:rsidRPr="00012467">
        <w:rPr>
          <w:rFonts w:ascii="Inter" w:hAnsi="Inter" w:cstheme="minorHAnsi"/>
          <w:color w:val="7030A0"/>
        </w:rPr>
        <w:t xml:space="preserve"> include,</w:t>
      </w:r>
      <w:r w:rsidRPr="00012467">
        <w:rPr>
          <w:rFonts w:ascii="Inter" w:hAnsi="Inter" w:cstheme="minorHAnsi"/>
          <w:color w:val="7030A0"/>
        </w:rPr>
        <w:t xml:space="preserve"> </w:t>
      </w:r>
      <w:r w:rsidR="00173128" w:rsidRPr="00012467">
        <w:rPr>
          <w:rFonts w:ascii="Inter" w:hAnsi="Inter" w:cstheme="minorHAnsi"/>
          <w:color w:val="7030A0"/>
        </w:rPr>
        <w:t xml:space="preserve">but are not limited to </w:t>
      </w:r>
      <w:r w:rsidRPr="00012467">
        <w:rPr>
          <w:rFonts w:ascii="Inter" w:hAnsi="Inter" w:cstheme="minorHAnsi"/>
          <w:color w:val="7030A0"/>
        </w:rPr>
        <w:t>the following:</w:t>
      </w:r>
    </w:p>
    <w:p w14:paraId="20A022B8" w14:textId="77777777" w:rsidR="00F07395" w:rsidRPr="00012467" w:rsidRDefault="00F07395" w:rsidP="00F65226">
      <w:pPr>
        <w:spacing w:after="0" w:line="240" w:lineRule="auto"/>
        <w:rPr>
          <w:rFonts w:ascii="Inter" w:hAnsi="Inter" w:cstheme="minorHAnsi"/>
          <w:color w:val="7030A0"/>
        </w:rPr>
      </w:pPr>
    </w:p>
    <w:p w14:paraId="0D7663C8" w14:textId="76E81398" w:rsidR="002911E4" w:rsidRPr="00012467" w:rsidRDefault="002911E4" w:rsidP="00071146">
      <w:pPr>
        <w:spacing w:after="0" w:line="240" w:lineRule="auto"/>
        <w:ind w:left="720"/>
        <w:rPr>
          <w:rFonts w:ascii="Inter" w:hAnsi="Inter" w:cstheme="minorHAnsi"/>
          <w:b/>
          <w:bCs/>
          <w:color w:val="7030A0"/>
        </w:rPr>
      </w:pPr>
      <w:r w:rsidRPr="00012467">
        <w:rPr>
          <w:rFonts w:ascii="Inter" w:hAnsi="Inter" w:cstheme="minorHAnsi"/>
          <w:b/>
          <w:bCs/>
          <w:color w:val="7030A0"/>
        </w:rPr>
        <w:t>Natural Persons (LSAG guidance 6.14.4)</w:t>
      </w:r>
    </w:p>
    <w:p w14:paraId="40449CE3" w14:textId="49321AE9" w:rsidR="002911E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Clients unable to produce standard documentation (LSAG 6.14.7)</w:t>
      </w:r>
    </w:p>
    <w:p w14:paraId="223F29AC" w14:textId="7533B35A" w:rsidR="002911E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Professionals (LSAG 6.14.8)</w:t>
      </w:r>
    </w:p>
    <w:p w14:paraId="7619E755" w14:textId="1039DC19" w:rsidR="009272C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Persons acting on behalf of the client (LSAG 6.14.9)</w:t>
      </w:r>
    </w:p>
    <w:p w14:paraId="16BD5A11" w14:textId="77777777" w:rsidR="009272C4" w:rsidRPr="00012467" w:rsidRDefault="009272C4" w:rsidP="00F65226">
      <w:pPr>
        <w:pStyle w:val="ListParagraph"/>
        <w:spacing w:after="0" w:line="240" w:lineRule="auto"/>
        <w:rPr>
          <w:rFonts w:ascii="Inter" w:hAnsi="Inter" w:cstheme="minorHAnsi"/>
          <w:color w:val="7030A0"/>
        </w:rPr>
      </w:pPr>
    </w:p>
    <w:p w14:paraId="7E48811D" w14:textId="0AE45EEA" w:rsidR="002911E4" w:rsidRPr="00012467" w:rsidRDefault="002911E4" w:rsidP="00F65226">
      <w:pPr>
        <w:pStyle w:val="ListParagraph"/>
        <w:spacing w:after="0" w:line="240" w:lineRule="auto"/>
        <w:jc w:val="both"/>
        <w:rPr>
          <w:rFonts w:ascii="Inter" w:hAnsi="Inter" w:cstheme="minorHAnsi"/>
          <w:b/>
          <w:bCs/>
          <w:color w:val="7030A0"/>
        </w:rPr>
      </w:pPr>
      <w:r w:rsidRPr="00012467">
        <w:rPr>
          <w:rFonts w:ascii="Inter" w:hAnsi="Inter" w:cstheme="minorHAnsi"/>
          <w:b/>
          <w:bCs/>
          <w:color w:val="7030A0"/>
        </w:rPr>
        <w:t>Non-natural Persons (LSAG 6.14.10)</w:t>
      </w:r>
    </w:p>
    <w:p w14:paraId="4F5C9514" w14:textId="3204FD7F" w:rsidR="002911E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Companies (LSAG 6.14.11)</w:t>
      </w:r>
    </w:p>
    <w:p w14:paraId="047DAF1B" w14:textId="5A93ECC6" w:rsidR="002911E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Trusts (LSAG 6.14.12)</w:t>
      </w:r>
    </w:p>
    <w:p w14:paraId="77EF443D" w14:textId="50A7D5EA" w:rsidR="002911E4" w:rsidRPr="00012467" w:rsidRDefault="002911E4" w:rsidP="004A06CE">
      <w:pPr>
        <w:pStyle w:val="ListParagraph"/>
        <w:numPr>
          <w:ilvl w:val="0"/>
          <w:numId w:val="10"/>
        </w:numPr>
        <w:spacing w:after="0" w:line="240" w:lineRule="auto"/>
        <w:rPr>
          <w:rFonts w:ascii="Inter" w:hAnsi="Inter" w:cstheme="minorHAnsi"/>
          <w:color w:val="7030A0"/>
        </w:rPr>
      </w:pPr>
      <w:r w:rsidRPr="00012467">
        <w:rPr>
          <w:rFonts w:ascii="Inter" w:hAnsi="Inter" w:cstheme="minorHAnsi"/>
          <w:color w:val="7030A0"/>
        </w:rPr>
        <w:t>Partnerships, limited Partnerships, Scottish limited Partnerships and UK LLP’s (LSAG 6.14.13)</w:t>
      </w:r>
    </w:p>
    <w:p w14:paraId="6BE84A81" w14:textId="17BCD598" w:rsidR="00D949CD" w:rsidRPr="00012467" w:rsidRDefault="00D949CD" w:rsidP="00F65226">
      <w:pPr>
        <w:spacing w:after="0" w:line="240" w:lineRule="auto"/>
        <w:rPr>
          <w:rFonts w:ascii="Inter" w:hAnsi="Inter"/>
        </w:rPr>
      </w:pPr>
    </w:p>
    <w:p w14:paraId="4B4FE280" w14:textId="22680F18" w:rsidR="00D949CD" w:rsidRPr="00012467" w:rsidRDefault="00D949CD" w:rsidP="00C66AE1">
      <w:pPr>
        <w:pStyle w:val="Heading2"/>
        <w:rPr>
          <w:rFonts w:ascii="Inter" w:hAnsi="Inter" w:cstheme="majorHAnsi"/>
          <w:sz w:val="18"/>
          <w:szCs w:val="18"/>
          <w:u w:val="single"/>
        </w:rPr>
      </w:pPr>
      <w:bookmarkStart w:id="9" w:name="_Toc126840561"/>
      <w:r w:rsidRPr="00012467">
        <w:rPr>
          <w:rFonts w:ascii="Inter" w:hAnsi="Inter" w:cstheme="majorHAnsi"/>
          <w:sz w:val="24"/>
          <w:szCs w:val="24"/>
          <w:u w:val="single"/>
        </w:rPr>
        <w:t>Source of Funds (SoF)</w:t>
      </w:r>
      <w:bookmarkEnd w:id="9"/>
      <w:r w:rsidR="00A37965" w:rsidRPr="00012467">
        <w:rPr>
          <w:rFonts w:ascii="Inter" w:hAnsi="Inter" w:cstheme="majorHAnsi"/>
          <w:sz w:val="24"/>
          <w:szCs w:val="24"/>
          <w:u w:val="single"/>
        </w:rPr>
        <w:br/>
      </w:r>
    </w:p>
    <w:p w14:paraId="061C257F" w14:textId="2E3E9493" w:rsidR="00D949CD" w:rsidRPr="00012467" w:rsidRDefault="00D949CD" w:rsidP="00D949CD">
      <w:pPr>
        <w:pStyle w:val="NoSpacing"/>
        <w:rPr>
          <w:rFonts w:ascii="Inter" w:hAnsi="Inter"/>
          <w:b/>
          <w:bCs/>
        </w:rPr>
      </w:pPr>
      <w:r w:rsidRPr="00012467">
        <w:rPr>
          <w:rFonts w:ascii="Inter" w:hAnsi="Inter"/>
          <w:b/>
          <w:bCs/>
        </w:rPr>
        <w:t>LSAG guidance 6.17.2</w:t>
      </w:r>
    </w:p>
    <w:p w14:paraId="31D69894" w14:textId="10A8430E" w:rsidR="00917EEC" w:rsidRPr="00012467" w:rsidRDefault="00917EEC" w:rsidP="00D949CD">
      <w:pPr>
        <w:pStyle w:val="NoSpacing"/>
        <w:rPr>
          <w:rFonts w:ascii="Inter" w:hAnsi="Inter"/>
        </w:rPr>
      </w:pPr>
    </w:p>
    <w:p w14:paraId="22212909" w14:textId="74CD2D16" w:rsidR="00917EEC" w:rsidRPr="00534B30" w:rsidRDefault="00917EEC" w:rsidP="00D949CD">
      <w:pPr>
        <w:pStyle w:val="NoSpacing"/>
        <w:rPr>
          <w:rFonts w:ascii="Inter" w:hAnsi="Inter"/>
          <w:color w:val="7030A0"/>
        </w:rPr>
      </w:pPr>
      <w:r w:rsidRPr="00534B30">
        <w:rPr>
          <w:rFonts w:ascii="Inter" w:hAnsi="Inter"/>
          <w:color w:val="7030A0"/>
        </w:rPr>
        <w:t>This section should detail the practices procedures in relation to understanding and evidencing Source of Funds – this should be based on the information below.</w:t>
      </w:r>
    </w:p>
    <w:p w14:paraId="4CB1CCBC" w14:textId="77777777" w:rsidR="00D949CD" w:rsidRPr="00012467" w:rsidRDefault="00D949CD" w:rsidP="00D949CD">
      <w:pPr>
        <w:pStyle w:val="NoSpacing"/>
        <w:rPr>
          <w:rFonts w:ascii="Inter" w:hAnsi="Inter"/>
        </w:rPr>
      </w:pPr>
    </w:p>
    <w:p w14:paraId="7283FF7F" w14:textId="5266121F" w:rsidR="00D949CD" w:rsidRPr="00012467" w:rsidRDefault="00D949CD" w:rsidP="00F27262">
      <w:pPr>
        <w:pStyle w:val="NoSpacing"/>
        <w:rPr>
          <w:rFonts w:ascii="Inter" w:hAnsi="Inter"/>
        </w:rPr>
      </w:pPr>
      <w:r w:rsidRPr="00012467">
        <w:rPr>
          <w:rFonts w:ascii="Inter" w:hAnsi="Inter"/>
        </w:rPr>
        <w:t xml:space="preserve">Source of Funds refers to the funds that are being used to fund the specific transaction </w:t>
      </w:r>
    </w:p>
    <w:p w14:paraId="0290001E" w14:textId="77777777" w:rsidR="00F12F38" w:rsidRPr="00012467" w:rsidRDefault="00D949CD" w:rsidP="00F27262">
      <w:pPr>
        <w:pStyle w:val="NoSpacing"/>
        <w:rPr>
          <w:rFonts w:ascii="Inter" w:hAnsi="Inter"/>
        </w:rPr>
      </w:pPr>
      <w:r w:rsidRPr="00012467">
        <w:rPr>
          <w:rFonts w:ascii="Inter" w:hAnsi="Inter"/>
        </w:rPr>
        <w:lastRenderedPageBreak/>
        <w:t xml:space="preserve">in hand – i.e., the origin of the funds used for the transactions or activities that occur within the business relationship or occasional transaction. </w:t>
      </w:r>
    </w:p>
    <w:p w14:paraId="51ED3201" w14:textId="77777777" w:rsidR="00F12F38" w:rsidRPr="00012467" w:rsidRDefault="00F12F38" w:rsidP="00F27262">
      <w:pPr>
        <w:pStyle w:val="NoSpacing"/>
        <w:rPr>
          <w:rFonts w:ascii="Inter" w:hAnsi="Inter"/>
        </w:rPr>
      </w:pPr>
    </w:p>
    <w:p w14:paraId="5107BC90" w14:textId="77777777" w:rsidR="00F12F38" w:rsidRPr="00012467" w:rsidRDefault="00D949CD" w:rsidP="00F27262">
      <w:pPr>
        <w:pStyle w:val="NoSpacing"/>
        <w:rPr>
          <w:rFonts w:ascii="Inter" w:hAnsi="Inter"/>
        </w:rPr>
      </w:pPr>
      <w:r w:rsidRPr="00012467">
        <w:rPr>
          <w:rFonts w:ascii="Inter" w:hAnsi="Inter"/>
        </w:rPr>
        <w:t xml:space="preserve">The question you are seeking to answer should not simply be, “where did the money for the transaction come from,” but also “how and from where did the client get the money for this transaction or business relationship.” </w:t>
      </w:r>
    </w:p>
    <w:p w14:paraId="2CC71055" w14:textId="77777777" w:rsidR="00F12F38" w:rsidRPr="00012467" w:rsidRDefault="00F12F38" w:rsidP="00F27262">
      <w:pPr>
        <w:pStyle w:val="NoSpacing"/>
        <w:rPr>
          <w:rFonts w:ascii="Inter" w:hAnsi="Inter"/>
        </w:rPr>
      </w:pPr>
    </w:p>
    <w:p w14:paraId="71652AEE" w14:textId="30D9C0D2" w:rsidR="00D949CD" w:rsidRPr="00012467" w:rsidRDefault="00D949CD" w:rsidP="00F27262">
      <w:pPr>
        <w:pStyle w:val="NoSpacing"/>
        <w:rPr>
          <w:rFonts w:ascii="Inter" w:hAnsi="Inter"/>
          <w:b/>
          <w:bCs/>
        </w:rPr>
      </w:pPr>
      <w:r w:rsidRPr="00012467">
        <w:rPr>
          <w:rFonts w:ascii="Inter" w:hAnsi="Inter"/>
          <w:b/>
          <w:bCs/>
        </w:rPr>
        <w:t>It is not enough to know the money came from a UK bank account</w:t>
      </w:r>
      <w:r w:rsidR="00D35649" w:rsidRPr="00012467">
        <w:rPr>
          <w:rFonts w:ascii="Inter" w:hAnsi="Inter"/>
          <w:b/>
          <w:bCs/>
        </w:rPr>
        <w:t xml:space="preserve"> or financial institution</w:t>
      </w:r>
      <w:r w:rsidRPr="00012467">
        <w:rPr>
          <w:rFonts w:ascii="Inter" w:hAnsi="Inter"/>
          <w:b/>
          <w:bCs/>
        </w:rPr>
        <w:t>.</w:t>
      </w:r>
      <w:r w:rsidRPr="00012467">
        <w:rPr>
          <w:rFonts w:ascii="Inter" w:hAnsi="Inter"/>
          <w:b/>
          <w:bCs/>
        </w:rPr>
        <w:cr/>
      </w:r>
    </w:p>
    <w:p w14:paraId="732AD412" w14:textId="1D823A1A" w:rsidR="006D4556" w:rsidRPr="00012467" w:rsidRDefault="00D949CD" w:rsidP="00F27262">
      <w:pPr>
        <w:pStyle w:val="NoSpacing"/>
        <w:rPr>
          <w:rFonts w:ascii="Inter" w:hAnsi="Inter"/>
        </w:rPr>
      </w:pPr>
      <w:r w:rsidRPr="00012467">
        <w:rPr>
          <w:rFonts w:ascii="Inter" w:hAnsi="Inter"/>
        </w:rPr>
        <w:t xml:space="preserve">The types of data and documents that </w:t>
      </w:r>
      <w:r w:rsidR="00081825" w:rsidRPr="00012467">
        <w:rPr>
          <w:rFonts w:ascii="Inter" w:hAnsi="Inter"/>
        </w:rPr>
        <w:t>we</w:t>
      </w:r>
      <w:r w:rsidRPr="00012467">
        <w:rPr>
          <w:rFonts w:ascii="Inter" w:hAnsi="Inter"/>
        </w:rPr>
        <w:t xml:space="preserve"> use for verification of SoF will vary depending on the circumstances. </w:t>
      </w:r>
    </w:p>
    <w:p w14:paraId="27FBBF27" w14:textId="77777777" w:rsidR="006D4556" w:rsidRPr="00012467" w:rsidRDefault="006D4556" w:rsidP="00F27262">
      <w:pPr>
        <w:pStyle w:val="NoSpacing"/>
        <w:rPr>
          <w:rFonts w:ascii="Inter" w:hAnsi="Inter"/>
        </w:rPr>
      </w:pPr>
    </w:p>
    <w:p w14:paraId="79DAFADF" w14:textId="77777777" w:rsidR="006D4556" w:rsidRPr="00012467" w:rsidRDefault="00F27262" w:rsidP="00F27262">
      <w:pPr>
        <w:pStyle w:val="NoSpacing"/>
        <w:rPr>
          <w:rFonts w:ascii="Inter" w:hAnsi="Inter"/>
        </w:rPr>
      </w:pPr>
      <w:r w:rsidRPr="00012467">
        <w:rPr>
          <w:rFonts w:ascii="Inter" w:hAnsi="Inter"/>
          <w:b/>
          <w:bCs/>
        </w:rPr>
        <w:t>Understanding the clients SoF is not limited to collating bank statements</w:t>
      </w:r>
      <w:r w:rsidRPr="00012467">
        <w:rPr>
          <w:rFonts w:ascii="Inter" w:hAnsi="Inter"/>
        </w:rPr>
        <w:t xml:space="preserve">. </w:t>
      </w:r>
    </w:p>
    <w:p w14:paraId="3D87CAF7" w14:textId="77777777" w:rsidR="006D4556" w:rsidRPr="00012467" w:rsidRDefault="006D4556" w:rsidP="00F27262">
      <w:pPr>
        <w:pStyle w:val="NoSpacing"/>
        <w:rPr>
          <w:rFonts w:ascii="Inter" w:hAnsi="Inter"/>
        </w:rPr>
      </w:pPr>
    </w:p>
    <w:p w14:paraId="06C5F74C" w14:textId="0A7F1D84" w:rsidR="00F27262" w:rsidRPr="00012467" w:rsidRDefault="00F27262" w:rsidP="00F27262">
      <w:pPr>
        <w:pStyle w:val="NoSpacing"/>
        <w:rPr>
          <w:rFonts w:ascii="Inter" w:hAnsi="Inter"/>
        </w:rPr>
      </w:pPr>
      <w:r w:rsidRPr="00012467">
        <w:rPr>
          <w:rFonts w:ascii="Inter" w:hAnsi="Inter"/>
          <w:b/>
          <w:bCs/>
        </w:rPr>
        <w:t xml:space="preserve">It should also not be </w:t>
      </w:r>
      <w:r w:rsidR="006D4556" w:rsidRPr="00012467">
        <w:rPr>
          <w:rFonts w:ascii="Inter" w:hAnsi="Inter"/>
          <w:b/>
          <w:bCs/>
        </w:rPr>
        <w:t xml:space="preserve">simply limited </w:t>
      </w:r>
      <w:r w:rsidRPr="00012467">
        <w:rPr>
          <w:rFonts w:ascii="Inter" w:hAnsi="Inter"/>
          <w:b/>
          <w:bCs/>
        </w:rPr>
        <w:t>to checking that the client’s name matches the name on the account</w:t>
      </w:r>
      <w:r w:rsidRPr="00012467">
        <w:rPr>
          <w:rFonts w:ascii="Inter" w:hAnsi="Inter"/>
        </w:rPr>
        <w:t>.</w:t>
      </w:r>
    </w:p>
    <w:p w14:paraId="493DB991" w14:textId="77777777" w:rsidR="00F27262" w:rsidRPr="00012467" w:rsidRDefault="00F27262" w:rsidP="00F27262">
      <w:pPr>
        <w:pStyle w:val="NoSpacing"/>
        <w:rPr>
          <w:rFonts w:ascii="Inter" w:hAnsi="Inter"/>
          <w:color w:val="7030A0"/>
        </w:rPr>
      </w:pPr>
    </w:p>
    <w:p w14:paraId="0F84FD77" w14:textId="3FFA8FA4" w:rsidR="00570BAF" w:rsidRPr="00012467" w:rsidRDefault="00570BAF" w:rsidP="00F27262">
      <w:pPr>
        <w:pStyle w:val="NoSpacing"/>
        <w:rPr>
          <w:rFonts w:ascii="Inter" w:hAnsi="Inter"/>
        </w:rPr>
      </w:pPr>
      <w:r w:rsidRPr="00012467">
        <w:rPr>
          <w:rFonts w:ascii="Inter" w:hAnsi="Inter"/>
        </w:rPr>
        <w:t xml:space="preserve">Documentation we could request to </w:t>
      </w:r>
      <w:r w:rsidRPr="00012467">
        <w:rPr>
          <w:rFonts w:ascii="Inter" w:hAnsi="Inter"/>
          <w:i/>
          <w:iCs/>
        </w:rPr>
        <w:t>assist us</w:t>
      </w:r>
      <w:r w:rsidRPr="00012467">
        <w:rPr>
          <w:rFonts w:ascii="Inter" w:hAnsi="Inter"/>
        </w:rPr>
        <w:t xml:space="preserve"> with understanding</w:t>
      </w:r>
      <w:r w:rsidR="00CE4922" w:rsidRPr="00012467">
        <w:rPr>
          <w:rFonts w:ascii="Inter" w:hAnsi="Inter"/>
        </w:rPr>
        <w:t xml:space="preserve"> and evidencing</w:t>
      </w:r>
      <w:r w:rsidRPr="00012467">
        <w:rPr>
          <w:rFonts w:ascii="Inter" w:hAnsi="Inter"/>
        </w:rPr>
        <w:t xml:space="preserve"> a clients SoF include, but are not limited to:</w:t>
      </w:r>
    </w:p>
    <w:p w14:paraId="21E498EC" w14:textId="77777777" w:rsidR="00570BAF" w:rsidRPr="00012467" w:rsidRDefault="00570BAF" w:rsidP="00F27262">
      <w:pPr>
        <w:pStyle w:val="NoSpacing"/>
        <w:rPr>
          <w:rFonts w:ascii="Inter" w:hAnsi="Inter"/>
        </w:rPr>
      </w:pPr>
    </w:p>
    <w:p w14:paraId="4B6FF083" w14:textId="0A65539C" w:rsidR="00570BAF" w:rsidRPr="00012467" w:rsidRDefault="00570BAF" w:rsidP="004A06CE">
      <w:pPr>
        <w:pStyle w:val="NoSpacing"/>
        <w:numPr>
          <w:ilvl w:val="0"/>
          <w:numId w:val="25"/>
        </w:numPr>
        <w:rPr>
          <w:rFonts w:ascii="Inter" w:hAnsi="Inter"/>
        </w:rPr>
      </w:pPr>
      <w:r w:rsidRPr="00012467">
        <w:rPr>
          <w:rFonts w:ascii="Inter" w:hAnsi="Inter"/>
        </w:rPr>
        <w:t>Bank</w:t>
      </w:r>
      <w:r w:rsidR="00F27262" w:rsidRPr="00012467">
        <w:rPr>
          <w:rFonts w:ascii="Inter" w:hAnsi="Inter"/>
        </w:rPr>
        <w:t xml:space="preserve"> statements</w:t>
      </w:r>
    </w:p>
    <w:p w14:paraId="6C4530A8" w14:textId="12E44AB8" w:rsidR="00CE4922" w:rsidRPr="00012467" w:rsidRDefault="00CE4922" w:rsidP="004A06CE">
      <w:pPr>
        <w:pStyle w:val="NoSpacing"/>
        <w:numPr>
          <w:ilvl w:val="0"/>
          <w:numId w:val="25"/>
        </w:numPr>
        <w:rPr>
          <w:rFonts w:ascii="Inter" w:hAnsi="Inter"/>
        </w:rPr>
      </w:pPr>
      <w:r w:rsidRPr="00012467">
        <w:rPr>
          <w:rFonts w:ascii="Inter" w:hAnsi="Inter"/>
        </w:rPr>
        <w:t>Documentation from a regulated financial institution or professional showing proceeds of asset sale/divestment</w:t>
      </w:r>
    </w:p>
    <w:p w14:paraId="3C571B7F" w14:textId="0C4BBD71" w:rsidR="00570BAF" w:rsidRPr="00012467" w:rsidRDefault="00F27262" w:rsidP="004A06CE">
      <w:pPr>
        <w:pStyle w:val="NoSpacing"/>
        <w:numPr>
          <w:ilvl w:val="0"/>
          <w:numId w:val="25"/>
        </w:numPr>
        <w:rPr>
          <w:rFonts w:ascii="Inter" w:hAnsi="Inter"/>
        </w:rPr>
      </w:pPr>
      <w:r w:rsidRPr="00012467">
        <w:rPr>
          <w:rFonts w:ascii="Inter" w:hAnsi="Inter"/>
        </w:rPr>
        <w:t>Wills</w:t>
      </w:r>
    </w:p>
    <w:p w14:paraId="5681B783" w14:textId="0D1CA57C" w:rsidR="00570BAF" w:rsidRPr="00012467" w:rsidRDefault="00570BAF" w:rsidP="004A06CE">
      <w:pPr>
        <w:pStyle w:val="NoSpacing"/>
        <w:numPr>
          <w:ilvl w:val="0"/>
          <w:numId w:val="25"/>
        </w:numPr>
        <w:rPr>
          <w:rFonts w:ascii="Inter" w:hAnsi="Inter"/>
        </w:rPr>
      </w:pPr>
      <w:r w:rsidRPr="00012467">
        <w:rPr>
          <w:rFonts w:ascii="Inter" w:hAnsi="Inter"/>
        </w:rPr>
        <w:t>F</w:t>
      </w:r>
      <w:r w:rsidR="00F27262" w:rsidRPr="00012467">
        <w:rPr>
          <w:rFonts w:ascii="Inter" w:hAnsi="Inter"/>
        </w:rPr>
        <w:t>ull payslips</w:t>
      </w:r>
    </w:p>
    <w:p w14:paraId="4BE3DFC2" w14:textId="28768498" w:rsidR="00570BAF" w:rsidRPr="00012467" w:rsidRDefault="00570BAF" w:rsidP="004A06CE">
      <w:pPr>
        <w:pStyle w:val="NoSpacing"/>
        <w:numPr>
          <w:ilvl w:val="0"/>
          <w:numId w:val="25"/>
        </w:numPr>
        <w:rPr>
          <w:rFonts w:ascii="Inter" w:hAnsi="Inter"/>
        </w:rPr>
      </w:pPr>
      <w:r w:rsidRPr="00012467">
        <w:rPr>
          <w:rFonts w:ascii="Inter" w:hAnsi="Inter"/>
        </w:rPr>
        <w:t>A</w:t>
      </w:r>
      <w:r w:rsidR="00F27262" w:rsidRPr="00012467">
        <w:rPr>
          <w:rFonts w:ascii="Inter" w:hAnsi="Inter"/>
        </w:rPr>
        <w:t>udited financial accounts showing funds disbursed to the client</w:t>
      </w:r>
    </w:p>
    <w:p w14:paraId="70AC1A21" w14:textId="7C212EE7" w:rsidR="00570BAF" w:rsidRPr="00012467" w:rsidRDefault="00570BAF" w:rsidP="004A06CE">
      <w:pPr>
        <w:pStyle w:val="NoSpacing"/>
        <w:numPr>
          <w:ilvl w:val="0"/>
          <w:numId w:val="25"/>
        </w:numPr>
        <w:rPr>
          <w:rFonts w:ascii="Inter" w:hAnsi="Inter"/>
        </w:rPr>
      </w:pPr>
      <w:r w:rsidRPr="00012467">
        <w:rPr>
          <w:rFonts w:ascii="Inter" w:hAnsi="Inter"/>
        </w:rPr>
        <w:t>S</w:t>
      </w:r>
      <w:r w:rsidR="00F27262" w:rsidRPr="00012467">
        <w:rPr>
          <w:rFonts w:ascii="Inter" w:hAnsi="Inter"/>
        </w:rPr>
        <w:t>ales/purchase agreements</w:t>
      </w:r>
    </w:p>
    <w:p w14:paraId="0ED26626" w14:textId="77777777" w:rsidR="00570BAF" w:rsidRPr="00012467" w:rsidRDefault="00570BAF" w:rsidP="00F27262">
      <w:pPr>
        <w:pStyle w:val="NoSpacing"/>
        <w:rPr>
          <w:rFonts w:ascii="Inter" w:hAnsi="Inter"/>
        </w:rPr>
      </w:pPr>
    </w:p>
    <w:p w14:paraId="7833BE86" w14:textId="28A56675" w:rsidR="009E0BF2" w:rsidRPr="002F64C1" w:rsidRDefault="00570BAF" w:rsidP="00A37965">
      <w:pPr>
        <w:pStyle w:val="NoSpacing"/>
        <w:rPr>
          <w:rFonts w:ascii="Inter" w:hAnsi="Inter"/>
          <w:color w:val="7030A0"/>
        </w:rPr>
      </w:pPr>
      <w:r w:rsidRPr="002F64C1">
        <w:rPr>
          <w:rFonts w:ascii="Inter" w:hAnsi="Inter"/>
          <w:color w:val="7030A0"/>
        </w:rPr>
        <w:t xml:space="preserve">Further detail </w:t>
      </w:r>
      <w:r w:rsidR="00D35649" w:rsidRPr="002F64C1">
        <w:rPr>
          <w:rFonts w:ascii="Inter" w:hAnsi="Inter"/>
          <w:color w:val="7030A0"/>
        </w:rPr>
        <w:t>the</w:t>
      </w:r>
      <w:r w:rsidRPr="002F64C1">
        <w:rPr>
          <w:rFonts w:ascii="Inter" w:hAnsi="Inter"/>
          <w:color w:val="7030A0"/>
        </w:rPr>
        <w:t xml:space="preserve"> </w:t>
      </w:r>
      <w:r w:rsidR="002F64C1" w:rsidRPr="002F64C1">
        <w:rPr>
          <w:rFonts w:ascii="Inter" w:hAnsi="Inter"/>
          <w:color w:val="7030A0"/>
        </w:rPr>
        <w:t xml:space="preserve">practical </w:t>
      </w:r>
      <w:r w:rsidRPr="002F64C1">
        <w:rPr>
          <w:rFonts w:ascii="Inter" w:hAnsi="Inter"/>
          <w:color w:val="7030A0"/>
        </w:rPr>
        <w:t xml:space="preserve">steps </w:t>
      </w:r>
      <w:r w:rsidRPr="006F5402">
        <w:rPr>
          <w:rFonts w:ascii="Inter" w:hAnsi="Inter"/>
          <w:color w:val="7030A0"/>
          <w:u w:val="single"/>
        </w:rPr>
        <w:t>your practice</w:t>
      </w:r>
      <w:r w:rsidRPr="002F64C1">
        <w:rPr>
          <w:rFonts w:ascii="Inter" w:hAnsi="Inter"/>
          <w:color w:val="7030A0"/>
        </w:rPr>
        <w:t xml:space="preserve"> takes to understand your clients SoF. This is not the same as Source of Wealth (SoW) and the difference between the two should be detailed.  </w:t>
      </w:r>
    </w:p>
    <w:p w14:paraId="3222E3AE" w14:textId="77777777" w:rsidR="009E0BF2" w:rsidRPr="00012467" w:rsidRDefault="009E0BF2" w:rsidP="00A37965">
      <w:pPr>
        <w:pStyle w:val="NoSpacing"/>
        <w:rPr>
          <w:rFonts w:ascii="Inter" w:hAnsi="Inter"/>
          <w:color w:val="7030A0"/>
        </w:rPr>
      </w:pPr>
    </w:p>
    <w:p w14:paraId="3DE22073" w14:textId="77777777" w:rsidR="009E0BF2" w:rsidRPr="00012467" w:rsidRDefault="009E0BF2" w:rsidP="009E0BF2">
      <w:pPr>
        <w:pStyle w:val="Heading2"/>
        <w:rPr>
          <w:rFonts w:ascii="Inter" w:hAnsi="Inter"/>
          <w:u w:val="single"/>
        </w:rPr>
      </w:pPr>
      <w:bookmarkStart w:id="10" w:name="_Toc126840562"/>
      <w:r w:rsidRPr="00012467">
        <w:rPr>
          <w:rFonts w:ascii="Inter" w:hAnsi="Inter"/>
          <w:u w:val="single"/>
        </w:rPr>
        <w:t>Source of Wealth (SoW)</w:t>
      </w:r>
      <w:bookmarkEnd w:id="10"/>
    </w:p>
    <w:p w14:paraId="53F3C4BA" w14:textId="717AFC11" w:rsidR="009E0BF2" w:rsidRPr="00012467" w:rsidRDefault="009E0BF2" w:rsidP="009E0BF2">
      <w:pPr>
        <w:pStyle w:val="Heading2"/>
        <w:rPr>
          <w:rFonts w:ascii="Inter" w:hAnsi="Inter"/>
          <w:u w:val="single"/>
        </w:rPr>
      </w:pPr>
    </w:p>
    <w:p w14:paraId="162511B6" w14:textId="468534DE" w:rsidR="009E0BF2" w:rsidRPr="00012467" w:rsidRDefault="009E0BF2" w:rsidP="009E0BF2">
      <w:pPr>
        <w:pStyle w:val="NoSpacing"/>
        <w:rPr>
          <w:rFonts w:ascii="Inter" w:hAnsi="Inter"/>
        </w:rPr>
      </w:pPr>
      <w:r w:rsidRPr="00012467">
        <w:rPr>
          <w:rFonts w:ascii="Inter" w:hAnsi="Inter"/>
        </w:rPr>
        <w:t>SoW describes the economic, business and/or commercial activities that generated, or significantly contributed to, the client’s</w:t>
      </w:r>
      <w:r w:rsidRPr="00012467">
        <w:rPr>
          <w:rFonts w:ascii="Inter" w:hAnsi="Inter"/>
          <w:u w:val="single"/>
        </w:rPr>
        <w:t xml:space="preserve"> overall</w:t>
      </w:r>
      <w:r w:rsidRPr="00012467">
        <w:rPr>
          <w:rFonts w:ascii="Inter" w:hAnsi="Inter"/>
        </w:rPr>
        <w:t xml:space="preserve"> net worth/entire body of wealth. This should recognise that the composition of wealth generating activities may change over time, as new activities are identified, and additional wealth is accumulated.</w:t>
      </w:r>
    </w:p>
    <w:p w14:paraId="7F4A0A20" w14:textId="567379E4" w:rsidR="009E0BF2" w:rsidRPr="00012467" w:rsidRDefault="009E0BF2" w:rsidP="009E0BF2">
      <w:pPr>
        <w:pStyle w:val="NoSpacing"/>
        <w:rPr>
          <w:rFonts w:ascii="Inter" w:hAnsi="Inter"/>
        </w:rPr>
      </w:pPr>
    </w:p>
    <w:p w14:paraId="2717FADE" w14:textId="34A4CF25" w:rsidR="009E0BF2" w:rsidRPr="00012467" w:rsidRDefault="009E0BF2" w:rsidP="009E0BF2">
      <w:pPr>
        <w:pStyle w:val="NoSpacing"/>
        <w:rPr>
          <w:rFonts w:ascii="Inter" w:hAnsi="Inter"/>
        </w:rPr>
      </w:pPr>
      <w:r w:rsidRPr="00012467">
        <w:rPr>
          <w:rFonts w:ascii="Inter" w:hAnsi="Inter"/>
        </w:rPr>
        <w:t xml:space="preserve">A holistic approach should be taken when establishing a clients SoW. </w:t>
      </w:r>
      <w:r w:rsidR="00DD6CAF" w:rsidRPr="00012467">
        <w:rPr>
          <w:rFonts w:ascii="Inter" w:hAnsi="Inter"/>
        </w:rPr>
        <w:t xml:space="preserve">Questions we could ask include, “what is the origin of the client’s entire body of assets?”, rather than just looking at what has funded a specific scenario. </w:t>
      </w:r>
    </w:p>
    <w:p w14:paraId="31AB7BBC" w14:textId="1AB6A51B" w:rsidR="00DD6CAF" w:rsidRPr="00012467" w:rsidRDefault="00DD6CAF" w:rsidP="009E0BF2">
      <w:pPr>
        <w:pStyle w:val="NoSpacing"/>
        <w:rPr>
          <w:rFonts w:ascii="Inter" w:hAnsi="Inter"/>
        </w:rPr>
      </w:pPr>
    </w:p>
    <w:p w14:paraId="6BE8AD0F" w14:textId="37FC2D24" w:rsidR="00DD6CAF" w:rsidRPr="00012467" w:rsidRDefault="00DD6CAF" w:rsidP="009E0BF2">
      <w:pPr>
        <w:pStyle w:val="NoSpacing"/>
        <w:rPr>
          <w:rFonts w:ascii="Inter" w:hAnsi="Inter"/>
          <w:color w:val="7030A0"/>
        </w:rPr>
      </w:pPr>
      <w:r w:rsidRPr="006F5402">
        <w:rPr>
          <w:rFonts w:ascii="Inter" w:hAnsi="Inter"/>
          <w:color w:val="7030A0"/>
          <w:u w:val="single"/>
        </w:rPr>
        <w:t>Your practices</w:t>
      </w:r>
      <w:r w:rsidRPr="00012467">
        <w:rPr>
          <w:rFonts w:ascii="Inter" w:hAnsi="Inter"/>
          <w:color w:val="7030A0"/>
        </w:rPr>
        <w:t xml:space="preserve"> approach to establishing and documenting a clients SoW should be included within your PCPs. The level of detail will depend on the risk rating for that particular client/matter. Further information on SoW can be found within the Enhanced Due Diligence section below. </w:t>
      </w:r>
    </w:p>
    <w:p w14:paraId="605C9179" w14:textId="77777777" w:rsidR="00CE4922" w:rsidRPr="00012467" w:rsidRDefault="00CE4922" w:rsidP="009E0BF2">
      <w:pPr>
        <w:pStyle w:val="NoSpacing"/>
        <w:rPr>
          <w:rFonts w:ascii="Inter" w:hAnsi="Inter"/>
          <w:color w:val="7030A0"/>
        </w:rPr>
      </w:pPr>
    </w:p>
    <w:p w14:paraId="09D3038D" w14:textId="2D04B39C" w:rsidR="00CE4922" w:rsidRPr="003F7E44" w:rsidRDefault="00CE4922" w:rsidP="00CE4922">
      <w:pPr>
        <w:pStyle w:val="NoSpacing"/>
        <w:rPr>
          <w:rFonts w:ascii="Inter" w:hAnsi="Inter" w:cstheme="minorHAnsi"/>
          <w:color w:val="7030A0"/>
        </w:rPr>
      </w:pPr>
      <w:r w:rsidRPr="003F7E44">
        <w:rPr>
          <w:rFonts w:ascii="Inter" w:hAnsi="Inter"/>
          <w:color w:val="7030A0"/>
        </w:rPr>
        <w:lastRenderedPageBreak/>
        <w:t xml:space="preserve">N.B. The Law Society of Scotland has also published a Frequently asked Questions document on the </w:t>
      </w:r>
      <w:r w:rsidRPr="003F7E44">
        <w:rPr>
          <w:rFonts w:ascii="Inter" w:hAnsi="Inter" w:cstheme="minorHAnsi"/>
          <w:color w:val="7030A0"/>
        </w:rPr>
        <w:t>difference between Source of Funds and Source of Wealth which can be found here:</w:t>
      </w:r>
    </w:p>
    <w:p w14:paraId="7F3BE63A" w14:textId="77777777" w:rsidR="00CE4922" w:rsidRPr="003F7E44" w:rsidRDefault="00314C16" w:rsidP="00CE4922">
      <w:pPr>
        <w:pStyle w:val="NoSpacing"/>
        <w:rPr>
          <w:rFonts w:ascii="Inter" w:hAnsi="Inter" w:cstheme="minorHAnsi"/>
          <w:color w:val="7030A0"/>
        </w:rPr>
      </w:pPr>
      <w:hyperlink r:id="rId18" w:history="1">
        <w:r w:rsidR="00CE4922" w:rsidRPr="003F7E44">
          <w:rPr>
            <w:rStyle w:val="Hyperlink"/>
            <w:rFonts w:ascii="Inter" w:hAnsi="Inter" w:cstheme="minorHAnsi"/>
          </w:rPr>
          <w:t>AML FAQs | Law Society of Scotland (lawscot.org.uk)</w:t>
        </w:r>
      </w:hyperlink>
    </w:p>
    <w:p w14:paraId="76BA85E3" w14:textId="2703B2EC" w:rsidR="00605DC5" w:rsidRPr="00012467" w:rsidRDefault="00A37965" w:rsidP="009E0BF2">
      <w:pPr>
        <w:pStyle w:val="Heading2"/>
        <w:rPr>
          <w:rFonts w:ascii="Inter" w:hAnsi="Inter"/>
          <w:color w:val="7030A0"/>
          <w:u w:val="single"/>
        </w:rPr>
      </w:pPr>
      <w:r w:rsidRPr="00012467">
        <w:rPr>
          <w:rFonts w:ascii="Inter" w:hAnsi="Inter"/>
          <w:color w:val="7030A0"/>
          <w:u w:val="single"/>
        </w:rPr>
        <w:br/>
      </w:r>
    </w:p>
    <w:p w14:paraId="0EC7BA7A" w14:textId="770B6265" w:rsidR="00C224A8" w:rsidRPr="00012467" w:rsidRDefault="00C224A8" w:rsidP="00C224A8">
      <w:pPr>
        <w:pStyle w:val="Heading1"/>
        <w:spacing w:before="0" w:line="240" w:lineRule="auto"/>
        <w:rPr>
          <w:rFonts w:ascii="Inter" w:hAnsi="Inter" w:cstheme="minorHAnsi"/>
          <w:bCs/>
          <w:sz w:val="18"/>
          <w:szCs w:val="18"/>
          <w:u w:val="single"/>
        </w:rPr>
      </w:pPr>
      <w:bookmarkStart w:id="11" w:name="_Toc126840563"/>
      <w:r w:rsidRPr="00012467">
        <w:rPr>
          <w:rFonts w:ascii="Inter" w:hAnsi="Inter" w:cstheme="minorHAnsi"/>
          <w:bCs/>
          <w:u w:val="single"/>
        </w:rPr>
        <w:t>Simplified Due Diligence</w:t>
      </w:r>
      <w:bookmarkEnd w:id="11"/>
      <w:r w:rsidR="00A37965" w:rsidRPr="00012467">
        <w:rPr>
          <w:rFonts w:ascii="Inter" w:hAnsi="Inter" w:cstheme="minorHAnsi"/>
          <w:bCs/>
          <w:u w:val="single"/>
        </w:rPr>
        <w:br/>
      </w:r>
    </w:p>
    <w:p w14:paraId="1F49A600" w14:textId="13E3549C" w:rsidR="00C224A8" w:rsidRPr="00012467" w:rsidRDefault="00C224A8" w:rsidP="00C224A8">
      <w:pPr>
        <w:spacing w:after="0" w:line="240" w:lineRule="auto"/>
        <w:rPr>
          <w:rFonts w:ascii="Inter" w:hAnsi="Inter" w:cstheme="minorHAnsi"/>
          <w:b/>
          <w:bCs/>
        </w:rPr>
      </w:pPr>
      <w:r w:rsidRPr="00012467">
        <w:rPr>
          <w:rFonts w:ascii="Inter" w:hAnsi="Inter" w:cstheme="minorHAnsi"/>
          <w:b/>
          <w:bCs/>
        </w:rPr>
        <w:t>LSAG guidance 6.20</w:t>
      </w:r>
      <w:r w:rsidR="000A02AB" w:rsidRPr="00012467">
        <w:rPr>
          <w:rFonts w:ascii="Inter" w:hAnsi="Inter" w:cstheme="minorHAnsi"/>
          <w:b/>
          <w:bCs/>
        </w:rPr>
        <w:br/>
      </w:r>
    </w:p>
    <w:p w14:paraId="67721302" w14:textId="34C50D73" w:rsidR="00C224A8" w:rsidRPr="00012467" w:rsidRDefault="00C224A8" w:rsidP="00C224A8">
      <w:pPr>
        <w:spacing w:after="0" w:line="240" w:lineRule="auto"/>
        <w:rPr>
          <w:rFonts w:ascii="Inter" w:hAnsi="Inter" w:cstheme="minorHAnsi"/>
        </w:rPr>
      </w:pPr>
      <w:r w:rsidRPr="00012467">
        <w:rPr>
          <w:rFonts w:ascii="Inter" w:hAnsi="Inter" w:cstheme="minorHAnsi"/>
        </w:rPr>
        <w:t>Under R</w:t>
      </w:r>
      <w:r w:rsidR="00071146" w:rsidRPr="00012467">
        <w:rPr>
          <w:rFonts w:ascii="Inter" w:hAnsi="Inter" w:cstheme="minorHAnsi"/>
        </w:rPr>
        <w:t>.</w:t>
      </w:r>
      <w:r w:rsidRPr="00012467">
        <w:rPr>
          <w:rFonts w:ascii="Inter" w:hAnsi="Inter" w:cstheme="minorHAnsi"/>
        </w:rPr>
        <w:t xml:space="preserve">37, we may be </w:t>
      </w:r>
      <w:r w:rsidR="00450F13" w:rsidRPr="00012467">
        <w:rPr>
          <w:rFonts w:ascii="Inter" w:hAnsi="Inter" w:cstheme="minorHAnsi"/>
        </w:rPr>
        <w:t xml:space="preserve">able </w:t>
      </w:r>
      <w:r w:rsidRPr="00012467">
        <w:rPr>
          <w:rFonts w:ascii="Inter" w:hAnsi="Inter" w:cstheme="minorHAnsi"/>
        </w:rPr>
        <w:t>to relax the type, timing and extent of measures undertaken under CDD where a matter is eligible for Simplified Due Diligence (SDD). We must continue to monitor the relationship and transactions to ensure that SDD continues to be appropriate. We must carry out sufficient monitoring of the relationship or transaction to enable us to detect any unusual or suspicious transactions.</w:t>
      </w:r>
      <w:r w:rsidR="000A02AB" w:rsidRPr="00012467">
        <w:rPr>
          <w:rFonts w:ascii="Inter" w:hAnsi="Inter" w:cstheme="minorHAnsi"/>
        </w:rPr>
        <w:br/>
      </w:r>
    </w:p>
    <w:p w14:paraId="1E5018BB" w14:textId="7369F2AA" w:rsidR="00C224A8" w:rsidRPr="00012467" w:rsidRDefault="00C224A8" w:rsidP="00C224A8">
      <w:pPr>
        <w:spacing w:after="0" w:line="240" w:lineRule="auto"/>
        <w:rPr>
          <w:rFonts w:ascii="Inter" w:hAnsi="Inter" w:cstheme="minorHAnsi"/>
        </w:rPr>
      </w:pPr>
      <w:r w:rsidRPr="00012467">
        <w:rPr>
          <w:rFonts w:ascii="Inter" w:hAnsi="Inter" w:cstheme="minorHAnsi"/>
        </w:rPr>
        <w:t>SDD may be considered when your client is:</w:t>
      </w:r>
      <w:r w:rsidR="000A02AB" w:rsidRPr="00012467">
        <w:rPr>
          <w:rFonts w:ascii="Inter" w:hAnsi="Inter" w:cstheme="minorHAnsi"/>
        </w:rPr>
        <w:br/>
      </w:r>
    </w:p>
    <w:p w14:paraId="01D19215" w14:textId="77777777" w:rsidR="00C224A8" w:rsidRPr="00012467" w:rsidRDefault="00C224A8" w:rsidP="004A06CE">
      <w:pPr>
        <w:pStyle w:val="ListParagraph"/>
        <w:numPr>
          <w:ilvl w:val="0"/>
          <w:numId w:val="19"/>
        </w:numPr>
        <w:spacing w:after="0" w:line="240" w:lineRule="auto"/>
        <w:rPr>
          <w:rFonts w:ascii="Inter" w:hAnsi="Inter" w:cstheme="minorHAnsi"/>
        </w:rPr>
      </w:pPr>
      <w:r w:rsidRPr="00012467">
        <w:rPr>
          <w:rFonts w:ascii="Inter" w:hAnsi="Inter" w:cstheme="minorHAnsi"/>
        </w:rPr>
        <w:t>A public administrator or a publicly owned enterprise</w:t>
      </w:r>
    </w:p>
    <w:p w14:paraId="5FDDE26E" w14:textId="77777777" w:rsidR="00C224A8" w:rsidRPr="00012467" w:rsidRDefault="00C224A8" w:rsidP="004A06CE">
      <w:pPr>
        <w:pStyle w:val="ListParagraph"/>
        <w:numPr>
          <w:ilvl w:val="0"/>
          <w:numId w:val="19"/>
        </w:numPr>
        <w:spacing w:after="0" w:line="240" w:lineRule="auto"/>
        <w:rPr>
          <w:rFonts w:ascii="Inter" w:hAnsi="Inter" w:cstheme="minorHAnsi"/>
        </w:rPr>
      </w:pPr>
      <w:r w:rsidRPr="00012467">
        <w:rPr>
          <w:rFonts w:ascii="Inter" w:hAnsi="Inter" w:cstheme="minorHAnsi"/>
        </w:rPr>
        <w:t>An individual resident in a geographic area of lower risk</w:t>
      </w:r>
    </w:p>
    <w:p w14:paraId="5E4475A5" w14:textId="77777777" w:rsidR="00C224A8" w:rsidRPr="00012467" w:rsidRDefault="00C224A8" w:rsidP="004A06CE">
      <w:pPr>
        <w:pStyle w:val="ListParagraph"/>
        <w:numPr>
          <w:ilvl w:val="0"/>
          <w:numId w:val="19"/>
        </w:numPr>
        <w:spacing w:after="0" w:line="240" w:lineRule="auto"/>
        <w:rPr>
          <w:rFonts w:ascii="Inter" w:hAnsi="Inter" w:cstheme="minorHAnsi"/>
        </w:rPr>
      </w:pPr>
      <w:r w:rsidRPr="00012467">
        <w:rPr>
          <w:rFonts w:ascii="Inter" w:hAnsi="Inter" w:cstheme="minorHAnsi"/>
        </w:rPr>
        <w:t>A credit or financial institution which is subject to requirements in national legislation</w:t>
      </w:r>
    </w:p>
    <w:p w14:paraId="03622A10" w14:textId="77777777" w:rsidR="00C224A8" w:rsidRPr="00012467" w:rsidRDefault="00C224A8" w:rsidP="004A06CE">
      <w:pPr>
        <w:pStyle w:val="ListParagraph"/>
        <w:numPr>
          <w:ilvl w:val="0"/>
          <w:numId w:val="19"/>
        </w:numPr>
        <w:spacing w:after="0" w:line="240" w:lineRule="auto"/>
        <w:rPr>
          <w:rFonts w:ascii="Inter" w:hAnsi="Inter" w:cstheme="minorHAnsi"/>
        </w:rPr>
      </w:pPr>
      <w:r w:rsidRPr="00012467">
        <w:rPr>
          <w:rFonts w:ascii="Inter" w:hAnsi="Inter" w:cstheme="minorHAnsi"/>
        </w:rPr>
        <w:t>A company listed on a regulated market (including majority owned subsidiaries) and the location of the regulated market</w:t>
      </w:r>
      <w:r w:rsidRPr="00012467">
        <w:rPr>
          <w:rFonts w:ascii="Inter" w:hAnsi="Inter" w:cstheme="minorHAnsi"/>
        </w:rPr>
        <w:cr/>
      </w:r>
    </w:p>
    <w:p w14:paraId="67F46999" w14:textId="77777777" w:rsidR="00C224A8" w:rsidRPr="00012467" w:rsidRDefault="00C224A8" w:rsidP="00C224A8">
      <w:pPr>
        <w:spacing w:after="0" w:line="240" w:lineRule="auto"/>
        <w:rPr>
          <w:rFonts w:ascii="Inter" w:hAnsi="Inter" w:cstheme="minorHAnsi"/>
        </w:rPr>
      </w:pPr>
      <w:r w:rsidRPr="00012467">
        <w:rPr>
          <w:rFonts w:ascii="Inter" w:hAnsi="Inter" w:cstheme="minorHAnsi"/>
        </w:rPr>
        <w:t xml:space="preserve">SDD is the lowest permissible form of due diligence and must only be used where we have determined that the client presents a low risk of money laundering or terrorist financing. </w:t>
      </w:r>
    </w:p>
    <w:p w14:paraId="2683FEDB" w14:textId="77777777" w:rsidR="00C224A8" w:rsidRPr="00012467" w:rsidRDefault="00C224A8" w:rsidP="00C224A8">
      <w:pPr>
        <w:spacing w:after="0" w:line="240" w:lineRule="auto"/>
        <w:rPr>
          <w:rFonts w:ascii="Inter" w:hAnsi="Inter" w:cstheme="minorHAnsi"/>
        </w:rPr>
      </w:pPr>
    </w:p>
    <w:p w14:paraId="30D4DD18" w14:textId="77777777" w:rsidR="00C224A8" w:rsidRPr="00012467" w:rsidRDefault="00C224A8" w:rsidP="00C224A8">
      <w:pPr>
        <w:spacing w:after="0" w:line="240" w:lineRule="auto"/>
        <w:rPr>
          <w:rFonts w:ascii="Inter" w:hAnsi="Inter" w:cstheme="minorHAnsi"/>
          <w:color w:val="7030A0"/>
        </w:rPr>
      </w:pPr>
      <w:r w:rsidRPr="00012467">
        <w:rPr>
          <w:rFonts w:ascii="Inter" w:hAnsi="Inter" w:cstheme="minorHAnsi"/>
          <w:color w:val="7030A0"/>
        </w:rPr>
        <w:t>You must record your reasoning for why you have determined that it is appropriate to use SDD via your client or matter risk assessment. It may be that due to factors recognised in your PWRA, it may not be appropriate for us to use SDD at all.</w:t>
      </w:r>
    </w:p>
    <w:p w14:paraId="7132AAC5" w14:textId="77777777" w:rsidR="00C224A8" w:rsidRPr="00012467" w:rsidRDefault="00C224A8" w:rsidP="00C224A8">
      <w:pPr>
        <w:spacing w:after="0" w:line="240" w:lineRule="auto"/>
        <w:rPr>
          <w:rFonts w:ascii="Inter" w:hAnsi="Inter" w:cstheme="minorHAnsi"/>
          <w:color w:val="7030A0"/>
        </w:rPr>
      </w:pPr>
    </w:p>
    <w:p w14:paraId="3FCE4B97" w14:textId="75E88C69" w:rsidR="00C224A8" w:rsidRPr="00012467" w:rsidRDefault="00C224A8" w:rsidP="00C224A8">
      <w:pPr>
        <w:spacing w:after="0" w:line="240" w:lineRule="auto"/>
        <w:rPr>
          <w:rFonts w:ascii="Inter" w:hAnsi="Inter" w:cstheme="minorHAnsi"/>
          <w:color w:val="7030A0"/>
          <w:u w:val="single"/>
        </w:rPr>
      </w:pPr>
      <w:r w:rsidRPr="00012467">
        <w:rPr>
          <w:rFonts w:ascii="Inter" w:hAnsi="Inter" w:cstheme="minorHAnsi"/>
          <w:color w:val="7030A0"/>
        </w:rPr>
        <w:t xml:space="preserve">You must clearly document within your PCPs </w:t>
      </w:r>
      <w:r w:rsidR="00CE4922" w:rsidRPr="00012467">
        <w:rPr>
          <w:rFonts w:ascii="Inter" w:hAnsi="Inter" w:cstheme="minorHAnsi"/>
          <w:color w:val="7030A0"/>
        </w:rPr>
        <w:t xml:space="preserve">how </w:t>
      </w:r>
      <w:r w:rsidRPr="00012467">
        <w:rPr>
          <w:rFonts w:ascii="Inter" w:hAnsi="Inter" w:cstheme="minorHAnsi"/>
          <w:color w:val="7030A0"/>
        </w:rPr>
        <w:t xml:space="preserve">SDD </w:t>
      </w:r>
      <w:r w:rsidR="00CE4922" w:rsidRPr="00012467">
        <w:rPr>
          <w:rFonts w:ascii="Inter" w:hAnsi="Inter" w:cstheme="minorHAnsi"/>
          <w:color w:val="7030A0"/>
        </w:rPr>
        <w:t>is undertaken in the context of</w:t>
      </w:r>
      <w:r w:rsidRPr="00012467">
        <w:rPr>
          <w:rFonts w:ascii="Inter" w:hAnsi="Inter" w:cstheme="minorHAnsi"/>
          <w:color w:val="7030A0"/>
        </w:rPr>
        <w:t xml:space="preserve"> your practice and under what circumstances this would be acceptable. </w:t>
      </w:r>
    </w:p>
    <w:p w14:paraId="6836BBCA" w14:textId="77777777" w:rsidR="00C224A8" w:rsidRPr="00012467" w:rsidRDefault="00C224A8" w:rsidP="00C224A8">
      <w:pPr>
        <w:pStyle w:val="Heading3"/>
        <w:spacing w:before="0" w:line="240" w:lineRule="auto"/>
        <w:rPr>
          <w:rFonts w:ascii="Inter" w:hAnsi="Inter" w:cstheme="minorHAnsi"/>
          <w:u w:val="single"/>
        </w:rPr>
      </w:pPr>
    </w:p>
    <w:p w14:paraId="16CF2FB8" w14:textId="428F4A1C" w:rsidR="00C224A8" w:rsidRPr="00012467" w:rsidRDefault="00C224A8" w:rsidP="00C224A8">
      <w:pPr>
        <w:pStyle w:val="Heading2"/>
        <w:spacing w:before="0" w:line="240" w:lineRule="auto"/>
        <w:rPr>
          <w:rFonts w:ascii="Inter" w:hAnsi="Inter"/>
          <w:sz w:val="18"/>
          <w:szCs w:val="18"/>
          <w:u w:val="single"/>
        </w:rPr>
      </w:pPr>
      <w:bookmarkStart w:id="12" w:name="_Toc126840564"/>
      <w:r w:rsidRPr="00012467">
        <w:rPr>
          <w:rFonts w:ascii="Inter" w:hAnsi="Inter" w:cstheme="minorHAnsi"/>
          <w:sz w:val="32"/>
          <w:szCs w:val="32"/>
          <w:u w:val="single"/>
        </w:rPr>
        <w:t>Ongoing</w:t>
      </w:r>
      <w:r w:rsidRPr="00012467">
        <w:rPr>
          <w:rFonts w:ascii="Inter" w:hAnsi="Inter"/>
          <w:u w:val="single"/>
        </w:rPr>
        <w:t xml:space="preserve"> </w:t>
      </w:r>
      <w:r w:rsidRPr="00012467">
        <w:rPr>
          <w:rFonts w:ascii="Inter" w:hAnsi="Inter" w:cstheme="minorHAnsi"/>
          <w:sz w:val="32"/>
          <w:szCs w:val="32"/>
          <w:u w:val="single"/>
        </w:rPr>
        <w:t>Monitoring</w:t>
      </w:r>
      <w:bookmarkEnd w:id="12"/>
      <w:r w:rsidR="000A02AB" w:rsidRPr="00012467">
        <w:rPr>
          <w:rFonts w:ascii="Inter" w:hAnsi="Inter"/>
          <w:u w:val="single"/>
        </w:rPr>
        <w:br/>
      </w:r>
    </w:p>
    <w:p w14:paraId="25665892" w14:textId="08717FBD" w:rsidR="00C224A8" w:rsidRPr="00012467" w:rsidRDefault="00C224A8" w:rsidP="00C224A8">
      <w:pPr>
        <w:spacing w:after="0" w:line="240" w:lineRule="auto"/>
        <w:rPr>
          <w:rFonts w:ascii="Inter" w:hAnsi="Inter" w:cstheme="minorHAnsi"/>
          <w:b/>
          <w:bCs/>
        </w:rPr>
      </w:pPr>
      <w:r w:rsidRPr="00012467">
        <w:rPr>
          <w:rFonts w:ascii="Inter" w:hAnsi="Inter" w:cstheme="minorHAnsi"/>
          <w:b/>
          <w:bCs/>
        </w:rPr>
        <w:t>LSAG guidance 6.21</w:t>
      </w:r>
      <w:r w:rsidR="000A02AB" w:rsidRPr="00012467">
        <w:rPr>
          <w:rFonts w:ascii="Inter" w:hAnsi="Inter" w:cstheme="minorHAnsi"/>
          <w:b/>
          <w:bCs/>
        </w:rPr>
        <w:br/>
      </w:r>
    </w:p>
    <w:p w14:paraId="6260B1C1" w14:textId="38495467" w:rsidR="00C224A8" w:rsidRPr="00012467" w:rsidRDefault="00C224A8" w:rsidP="00C224A8">
      <w:pPr>
        <w:spacing w:after="0" w:line="240" w:lineRule="auto"/>
        <w:rPr>
          <w:rFonts w:ascii="Inter" w:hAnsi="Inter" w:cstheme="minorHAnsi"/>
        </w:rPr>
      </w:pPr>
      <w:r w:rsidRPr="00012467">
        <w:rPr>
          <w:rFonts w:ascii="Inter" w:hAnsi="Inter" w:cstheme="minorHAnsi"/>
        </w:rPr>
        <w:t>R</w:t>
      </w:r>
      <w:r w:rsidR="00071146" w:rsidRPr="00012467">
        <w:rPr>
          <w:rFonts w:ascii="Inter" w:hAnsi="Inter" w:cstheme="minorHAnsi"/>
        </w:rPr>
        <w:t>.</w:t>
      </w:r>
      <w:r w:rsidRPr="00012467">
        <w:rPr>
          <w:rFonts w:ascii="Inter" w:hAnsi="Inter" w:cstheme="minorHAnsi"/>
        </w:rPr>
        <w:t xml:space="preserve">28(11) requires that we should conduct ongoing monitoring of business relationships </w:t>
      </w:r>
      <w:r w:rsidRPr="00012467">
        <w:rPr>
          <w:rFonts w:ascii="Inter" w:hAnsi="Inter" w:cstheme="minorHAnsi"/>
          <w:u w:val="single"/>
        </w:rPr>
        <w:t>and throughout the course of a transaction</w:t>
      </w:r>
      <w:r w:rsidRPr="00012467">
        <w:rPr>
          <w:rFonts w:ascii="Inter" w:hAnsi="Inter" w:cstheme="minorHAnsi"/>
        </w:rPr>
        <w:t xml:space="preserve">. Ongoing monitoring is defined as: </w:t>
      </w:r>
      <w:r w:rsidR="000A02AB" w:rsidRPr="00012467">
        <w:rPr>
          <w:rFonts w:ascii="Inter" w:hAnsi="Inter" w:cstheme="minorHAnsi"/>
        </w:rPr>
        <w:br/>
      </w:r>
    </w:p>
    <w:p w14:paraId="3290155A" w14:textId="31D399B9" w:rsidR="00C224A8" w:rsidRPr="00012467" w:rsidRDefault="00C224A8" w:rsidP="004A06CE">
      <w:pPr>
        <w:pStyle w:val="ListParagraph"/>
        <w:numPr>
          <w:ilvl w:val="0"/>
          <w:numId w:val="16"/>
        </w:numPr>
        <w:spacing w:after="0" w:line="240" w:lineRule="auto"/>
        <w:rPr>
          <w:rFonts w:ascii="Inter" w:hAnsi="Inter" w:cstheme="minorHAnsi"/>
        </w:rPr>
      </w:pPr>
      <w:r w:rsidRPr="00012467">
        <w:rPr>
          <w:rFonts w:ascii="Inter" w:hAnsi="Inter" w:cstheme="minorHAnsi"/>
        </w:rPr>
        <w:t xml:space="preserve">Scrutiny of transactions undertaken throughout the course of the relationship, (including where necessary, the source of funds), to ensure that the transactions are consistent with your knowledge of the client, their </w:t>
      </w:r>
      <w:r w:rsidR="00071146" w:rsidRPr="00012467">
        <w:rPr>
          <w:rFonts w:ascii="Inter" w:hAnsi="Inter" w:cstheme="minorHAnsi"/>
        </w:rPr>
        <w:t>business,</w:t>
      </w:r>
      <w:r w:rsidRPr="00012467">
        <w:rPr>
          <w:rFonts w:ascii="Inter" w:hAnsi="Inter" w:cstheme="minorHAnsi"/>
        </w:rPr>
        <w:t xml:space="preserve"> and their risk profile</w:t>
      </w:r>
    </w:p>
    <w:p w14:paraId="5C8FE82C" w14:textId="77777777" w:rsidR="00C224A8" w:rsidRPr="00012467" w:rsidRDefault="00C224A8" w:rsidP="004A06CE">
      <w:pPr>
        <w:pStyle w:val="ListParagraph"/>
        <w:numPr>
          <w:ilvl w:val="0"/>
          <w:numId w:val="16"/>
        </w:numPr>
        <w:spacing w:after="0" w:line="240" w:lineRule="auto"/>
        <w:rPr>
          <w:rFonts w:ascii="Inter" w:hAnsi="Inter" w:cstheme="minorHAnsi"/>
        </w:rPr>
      </w:pPr>
      <w:r w:rsidRPr="00012467">
        <w:rPr>
          <w:rFonts w:ascii="Inter" w:hAnsi="Inter" w:cstheme="minorHAnsi"/>
        </w:rPr>
        <w:t>Undertaking reviews of existing records and keeping the documents, or information obtained for the purpose of applying CDD, up to date</w:t>
      </w:r>
    </w:p>
    <w:p w14:paraId="17CACEF5" w14:textId="77777777" w:rsidR="00C224A8" w:rsidRPr="00012467" w:rsidRDefault="00C224A8" w:rsidP="00C224A8">
      <w:pPr>
        <w:spacing w:after="0" w:line="240" w:lineRule="auto"/>
        <w:rPr>
          <w:rFonts w:ascii="Inter" w:hAnsi="Inter" w:cstheme="minorHAnsi"/>
        </w:rPr>
      </w:pPr>
    </w:p>
    <w:p w14:paraId="5A7240DA" w14:textId="1DBD18FD" w:rsidR="00C224A8" w:rsidRPr="00012467" w:rsidRDefault="00C224A8" w:rsidP="00C224A8">
      <w:pPr>
        <w:spacing w:after="0" w:line="240" w:lineRule="auto"/>
        <w:rPr>
          <w:rFonts w:ascii="Inter" w:hAnsi="Inter" w:cstheme="minorHAnsi"/>
        </w:rPr>
      </w:pPr>
      <w:r w:rsidRPr="00012467">
        <w:rPr>
          <w:rFonts w:ascii="Inter" w:hAnsi="Inter" w:cstheme="minorHAnsi"/>
        </w:rPr>
        <w:t>Ways in which we can comply with R</w:t>
      </w:r>
      <w:r w:rsidR="00071146" w:rsidRPr="00012467">
        <w:rPr>
          <w:rFonts w:ascii="Inter" w:hAnsi="Inter" w:cstheme="minorHAnsi"/>
        </w:rPr>
        <w:t>.</w:t>
      </w:r>
      <w:r w:rsidRPr="00012467">
        <w:rPr>
          <w:rFonts w:ascii="Inter" w:hAnsi="Inter" w:cstheme="minorHAnsi"/>
        </w:rPr>
        <w:t>28(11) are:</w:t>
      </w:r>
    </w:p>
    <w:p w14:paraId="6C2EDFB5" w14:textId="77777777" w:rsidR="00C224A8" w:rsidRPr="00012467" w:rsidRDefault="00C224A8" w:rsidP="00C224A8">
      <w:pPr>
        <w:spacing w:after="0" w:line="240" w:lineRule="auto"/>
        <w:rPr>
          <w:rFonts w:ascii="Inter" w:hAnsi="Inter" w:cstheme="minorHAnsi"/>
        </w:rPr>
      </w:pPr>
    </w:p>
    <w:p w14:paraId="5D490DE6" w14:textId="77777777" w:rsidR="00C224A8" w:rsidRPr="00012467" w:rsidRDefault="00C224A8" w:rsidP="004A06CE">
      <w:pPr>
        <w:pStyle w:val="ListParagraph"/>
        <w:numPr>
          <w:ilvl w:val="0"/>
          <w:numId w:val="17"/>
        </w:numPr>
        <w:spacing w:after="0" w:line="240" w:lineRule="auto"/>
        <w:rPr>
          <w:rFonts w:ascii="Inter" w:hAnsi="Inter" w:cstheme="minorHAnsi"/>
        </w:rPr>
      </w:pPr>
      <w:r w:rsidRPr="00012467">
        <w:rPr>
          <w:rFonts w:ascii="Inter" w:hAnsi="Inter" w:cstheme="minorHAnsi"/>
        </w:rPr>
        <w:t>Renew and re-evaluate CDD at appropriate intervals, including during the course of a transaction</w:t>
      </w:r>
    </w:p>
    <w:p w14:paraId="56A7272A" w14:textId="2D216B14" w:rsidR="00C224A8" w:rsidRPr="00012467" w:rsidRDefault="00C224A8" w:rsidP="004A06CE">
      <w:pPr>
        <w:pStyle w:val="ListParagraph"/>
        <w:numPr>
          <w:ilvl w:val="0"/>
          <w:numId w:val="17"/>
        </w:numPr>
        <w:spacing w:after="0" w:line="240" w:lineRule="auto"/>
        <w:rPr>
          <w:rFonts w:ascii="Inter" w:hAnsi="Inter" w:cstheme="minorHAnsi"/>
        </w:rPr>
      </w:pPr>
      <w:r w:rsidRPr="00012467">
        <w:rPr>
          <w:rFonts w:ascii="Inter" w:hAnsi="Inter" w:cstheme="minorHAnsi"/>
        </w:rPr>
        <w:t xml:space="preserve">Suspend or terminate a business relationship until we have updated information or documents, though this may be excessive if we are </w:t>
      </w:r>
      <w:r w:rsidR="00071146" w:rsidRPr="00012467">
        <w:rPr>
          <w:rFonts w:ascii="Inter" w:hAnsi="Inter" w:cstheme="minorHAnsi"/>
        </w:rPr>
        <w:t>satisfied,</w:t>
      </w:r>
      <w:r w:rsidRPr="00012467">
        <w:rPr>
          <w:rFonts w:ascii="Inter" w:hAnsi="Inter" w:cstheme="minorHAnsi"/>
        </w:rPr>
        <w:t xml:space="preserve"> we know who our client is, and keep under review any request we have made for information or documents</w:t>
      </w:r>
    </w:p>
    <w:p w14:paraId="659664B3" w14:textId="77777777" w:rsidR="00C224A8" w:rsidRPr="00012467" w:rsidRDefault="00C224A8" w:rsidP="004A06CE">
      <w:pPr>
        <w:pStyle w:val="ListParagraph"/>
        <w:numPr>
          <w:ilvl w:val="0"/>
          <w:numId w:val="17"/>
        </w:numPr>
        <w:spacing w:after="0" w:line="240" w:lineRule="auto"/>
        <w:rPr>
          <w:rFonts w:ascii="Inter" w:hAnsi="Inter" w:cstheme="minorHAnsi"/>
        </w:rPr>
      </w:pPr>
      <w:r w:rsidRPr="00012467">
        <w:rPr>
          <w:rFonts w:ascii="Inter" w:hAnsi="Inter" w:cstheme="minorHAnsi"/>
        </w:rPr>
        <w:t>Use technology to aid our ongoing monitoring.</w:t>
      </w:r>
    </w:p>
    <w:p w14:paraId="55A21D30" w14:textId="77777777" w:rsidR="00C224A8" w:rsidRPr="00012467" w:rsidRDefault="00C224A8" w:rsidP="00C224A8">
      <w:pPr>
        <w:spacing w:after="0" w:line="240" w:lineRule="auto"/>
        <w:rPr>
          <w:rFonts w:ascii="Inter" w:hAnsi="Inter" w:cstheme="minorHAnsi"/>
        </w:rPr>
      </w:pPr>
    </w:p>
    <w:p w14:paraId="4746A56F" w14:textId="56D86C21" w:rsidR="00C224A8" w:rsidRPr="00012467" w:rsidRDefault="00C224A8" w:rsidP="00C224A8">
      <w:pPr>
        <w:spacing w:after="0" w:line="240" w:lineRule="auto"/>
        <w:rPr>
          <w:rFonts w:ascii="Inter" w:hAnsi="Inter" w:cstheme="minorHAnsi"/>
        </w:rPr>
      </w:pPr>
      <w:r w:rsidRPr="00012467">
        <w:rPr>
          <w:rFonts w:ascii="Inter" w:hAnsi="Inter" w:cstheme="minorHAnsi"/>
        </w:rPr>
        <w:t xml:space="preserve">CDD must be reapplied for existing clients on a risk-based approach and when we become aware that the </w:t>
      </w:r>
      <w:r w:rsidR="00CE4922" w:rsidRPr="00012467">
        <w:rPr>
          <w:rFonts w:ascii="Inter" w:hAnsi="Inter" w:cstheme="minorHAnsi"/>
        </w:rPr>
        <w:t xml:space="preserve">material </w:t>
      </w:r>
      <w:r w:rsidRPr="00012467">
        <w:rPr>
          <w:rFonts w:ascii="Inter" w:hAnsi="Inter" w:cstheme="minorHAnsi"/>
        </w:rPr>
        <w:t>circumstances of the client</w:t>
      </w:r>
      <w:r w:rsidR="00CE4922" w:rsidRPr="00012467">
        <w:rPr>
          <w:rFonts w:ascii="Inter" w:hAnsi="Inter" w:cstheme="minorHAnsi"/>
        </w:rPr>
        <w:t xml:space="preserve"> or the source of funding</w:t>
      </w:r>
      <w:r w:rsidRPr="00012467">
        <w:rPr>
          <w:rFonts w:ascii="Inter" w:hAnsi="Inter" w:cstheme="minorHAnsi"/>
        </w:rPr>
        <w:t xml:space="preserve"> have changed. Questions we should ask ourselves include, but are not limited to:</w:t>
      </w:r>
    </w:p>
    <w:p w14:paraId="7C457BD9" w14:textId="77777777" w:rsidR="00C224A8" w:rsidRPr="00012467" w:rsidRDefault="00C224A8" w:rsidP="00C224A8">
      <w:pPr>
        <w:spacing w:after="0" w:line="240" w:lineRule="auto"/>
        <w:rPr>
          <w:rFonts w:ascii="Inter" w:hAnsi="Inter" w:cstheme="minorHAnsi"/>
        </w:rPr>
      </w:pPr>
    </w:p>
    <w:p w14:paraId="10AD1C96" w14:textId="1FE71633" w:rsidR="00C224A8" w:rsidRPr="00012467" w:rsidRDefault="00C224A8" w:rsidP="004A06CE">
      <w:pPr>
        <w:pStyle w:val="ListParagraph"/>
        <w:numPr>
          <w:ilvl w:val="0"/>
          <w:numId w:val="20"/>
        </w:numPr>
        <w:spacing w:after="0" w:line="240" w:lineRule="auto"/>
        <w:rPr>
          <w:rFonts w:ascii="Inter" w:hAnsi="Inter" w:cstheme="minorHAnsi"/>
        </w:rPr>
      </w:pPr>
      <w:r w:rsidRPr="00012467">
        <w:rPr>
          <w:rFonts w:ascii="Inter" w:hAnsi="Inter" w:cstheme="minorHAnsi"/>
        </w:rPr>
        <w:t xml:space="preserve">Throughout the course of the transaction, have the </w:t>
      </w:r>
      <w:r w:rsidR="00CE4922" w:rsidRPr="00012467">
        <w:rPr>
          <w:rFonts w:ascii="Inter" w:hAnsi="Inter" w:cstheme="minorHAnsi"/>
        </w:rPr>
        <w:t xml:space="preserve">source of </w:t>
      </w:r>
      <w:r w:rsidRPr="00012467">
        <w:rPr>
          <w:rFonts w:ascii="Inter" w:hAnsi="Inter" w:cstheme="minorHAnsi"/>
        </w:rPr>
        <w:t xml:space="preserve">funds changed? </w:t>
      </w:r>
    </w:p>
    <w:p w14:paraId="5C2E5792" w14:textId="77777777" w:rsidR="00C224A8" w:rsidRPr="00012467" w:rsidRDefault="00C224A8" w:rsidP="004A06CE">
      <w:pPr>
        <w:pStyle w:val="ListParagraph"/>
        <w:numPr>
          <w:ilvl w:val="0"/>
          <w:numId w:val="20"/>
        </w:numPr>
        <w:spacing w:after="0" w:line="240" w:lineRule="auto"/>
        <w:rPr>
          <w:rFonts w:ascii="Inter" w:hAnsi="Inter" w:cstheme="minorHAnsi"/>
        </w:rPr>
      </w:pPr>
      <w:r w:rsidRPr="00012467">
        <w:rPr>
          <w:rFonts w:ascii="Inter" w:hAnsi="Inter" w:cstheme="minorHAnsi"/>
        </w:rPr>
        <w:t>Have any third-party funds been introduced?</w:t>
      </w:r>
    </w:p>
    <w:p w14:paraId="78E254E7" w14:textId="77777777" w:rsidR="00C224A8" w:rsidRPr="00012467" w:rsidRDefault="00C224A8" w:rsidP="004A06CE">
      <w:pPr>
        <w:pStyle w:val="ListParagraph"/>
        <w:numPr>
          <w:ilvl w:val="0"/>
          <w:numId w:val="20"/>
        </w:numPr>
        <w:spacing w:after="0" w:line="240" w:lineRule="auto"/>
        <w:rPr>
          <w:rFonts w:ascii="Inter" w:hAnsi="Inter" w:cstheme="minorHAnsi"/>
        </w:rPr>
      </w:pPr>
      <w:r w:rsidRPr="00012467">
        <w:rPr>
          <w:rFonts w:ascii="Inter" w:hAnsi="Inter" w:cstheme="minorHAnsi"/>
        </w:rPr>
        <w:t>Has the client or beneficial ownership changed?</w:t>
      </w:r>
    </w:p>
    <w:p w14:paraId="3C0BA88A" w14:textId="77777777" w:rsidR="008369EB" w:rsidRPr="00012467" w:rsidRDefault="008369EB" w:rsidP="008369EB">
      <w:pPr>
        <w:spacing w:after="0" w:line="240" w:lineRule="auto"/>
        <w:rPr>
          <w:rFonts w:ascii="Inter" w:hAnsi="Inter" w:cstheme="minorHAnsi"/>
        </w:rPr>
      </w:pPr>
    </w:p>
    <w:p w14:paraId="53553238" w14:textId="5A63ADA8" w:rsidR="008369EB" w:rsidRPr="00012467" w:rsidRDefault="006229A2" w:rsidP="008369EB">
      <w:pPr>
        <w:spacing w:after="0" w:line="240" w:lineRule="auto"/>
        <w:rPr>
          <w:rFonts w:ascii="Inter" w:hAnsi="Inter" w:cstheme="minorHAnsi"/>
        </w:rPr>
      </w:pPr>
      <w:r w:rsidRPr="00012467">
        <w:rPr>
          <w:rFonts w:ascii="Inter" w:hAnsi="Inter" w:cstheme="minorHAnsi"/>
        </w:rPr>
        <w:t xml:space="preserve">Each time ongoing monitoring is </w:t>
      </w:r>
      <w:r w:rsidR="008078E0" w:rsidRPr="00012467">
        <w:rPr>
          <w:rFonts w:ascii="Inter" w:hAnsi="Inter" w:cstheme="minorHAnsi"/>
        </w:rPr>
        <w:t>conducted</w:t>
      </w:r>
      <w:r w:rsidRPr="00012467">
        <w:rPr>
          <w:rFonts w:ascii="Inter" w:hAnsi="Inter" w:cstheme="minorHAnsi"/>
        </w:rPr>
        <w:t xml:space="preserve">, we </w:t>
      </w:r>
      <w:r w:rsidR="00D80227" w:rsidRPr="00012467">
        <w:rPr>
          <w:rFonts w:ascii="Inter" w:hAnsi="Inter" w:cstheme="minorHAnsi"/>
        </w:rPr>
        <w:t>should</w:t>
      </w:r>
      <w:r w:rsidRPr="00012467">
        <w:rPr>
          <w:rFonts w:ascii="Inter" w:hAnsi="Inter" w:cstheme="minorHAnsi"/>
        </w:rPr>
        <w:t xml:space="preserve"> record:</w:t>
      </w:r>
    </w:p>
    <w:p w14:paraId="2665253B" w14:textId="77777777" w:rsidR="006229A2" w:rsidRPr="00012467" w:rsidRDefault="006229A2" w:rsidP="008369EB">
      <w:pPr>
        <w:spacing w:after="0" w:line="240" w:lineRule="auto"/>
        <w:rPr>
          <w:rFonts w:ascii="Inter" w:hAnsi="Inter" w:cstheme="minorHAnsi"/>
        </w:rPr>
      </w:pPr>
    </w:p>
    <w:p w14:paraId="16B78C14" w14:textId="31FB57D1" w:rsidR="006229A2" w:rsidRPr="00012467" w:rsidRDefault="006229A2" w:rsidP="004A06CE">
      <w:pPr>
        <w:pStyle w:val="ListParagraph"/>
        <w:numPr>
          <w:ilvl w:val="0"/>
          <w:numId w:val="33"/>
        </w:numPr>
        <w:spacing w:after="0" w:line="240" w:lineRule="auto"/>
        <w:rPr>
          <w:rFonts w:ascii="Inter" w:hAnsi="Inter" w:cstheme="minorHAnsi"/>
        </w:rPr>
      </w:pPr>
      <w:r w:rsidRPr="00012467">
        <w:rPr>
          <w:rFonts w:ascii="Inter" w:hAnsi="Inter" w:cstheme="minorHAnsi"/>
        </w:rPr>
        <w:t>What was considered</w:t>
      </w:r>
    </w:p>
    <w:p w14:paraId="3F2A1EE0" w14:textId="684617D1" w:rsidR="006229A2" w:rsidRPr="00012467" w:rsidRDefault="006229A2" w:rsidP="004A06CE">
      <w:pPr>
        <w:pStyle w:val="ListParagraph"/>
        <w:numPr>
          <w:ilvl w:val="0"/>
          <w:numId w:val="33"/>
        </w:numPr>
        <w:spacing w:after="0" w:line="240" w:lineRule="auto"/>
        <w:rPr>
          <w:rFonts w:ascii="Inter" w:hAnsi="Inter" w:cstheme="minorHAnsi"/>
        </w:rPr>
      </w:pPr>
      <w:r w:rsidRPr="00012467">
        <w:rPr>
          <w:rFonts w:ascii="Inter" w:hAnsi="Inter" w:cstheme="minorHAnsi"/>
        </w:rPr>
        <w:t>The action taken (if any)</w:t>
      </w:r>
    </w:p>
    <w:p w14:paraId="54FEA0CC" w14:textId="6EF27290" w:rsidR="006229A2" w:rsidRPr="00012467" w:rsidRDefault="008717B0" w:rsidP="004A06CE">
      <w:pPr>
        <w:pStyle w:val="ListParagraph"/>
        <w:numPr>
          <w:ilvl w:val="0"/>
          <w:numId w:val="33"/>
        </w:numPr>
        <w:spacing w:after="0" w:line="240" w:lineRule="auto"/>
        <w:rPr>
          <w:rFonts w:ascii="Inter" w:hAnsi="Inter" w:cstheme="minorHAnsi"/>
        </w:rPr>
      </w:pPr>
      <w:r w:rsidRPr="00012467">
        <w:rPr>
          <w:rFonts w:ascii="Inter" w:hAnsi="Inter" w:cstheme="minorHAnsi"/>
        </w:rPr>
        <w:t>The reason for the decision made</w:t>
      </w:r>
    </w:p>
    <w:p w14:paraId="3D960916" w14:textId="640965CA" w:rsidR="008717B0" w:rsidRPr="00012467" w:rsidRDefault="008717B0" w:rsidP="004A06CE">
      <w:pPr>
        <w:pStyle w:val="ListParagraph"/>
        <w:numPr>
          <w:ilvl w:val="0"/>
          <w:numId w:val="33"/>
        </w:numPr>
        <w:spacing w:after="0" w:line="240" w:lineRule="auto"/>
        <w:rPr>
          <w:rFonts w:ascii="Inter" w:hAnsi="Inter" w:cstheme="minorHAnsi"/>
        </w:rPr>
      </w:pPr>
      <w:r w:rsidRPr="00012467">
        <w:rPr>
          <w:rFonts w:ascii="Inter" w:hAnsi="Inter" w:cstheme="minorHAnsi"/>
        </w:rPr>
        <w:t>Who undertook the ongoing monitoring and the date in which it was applied</w:t>
      </w:r>
    </w:p>
    <w:p w14:paraId="1DE00C18" w14:textId="77777777" w:rsidR="00C224A8" w:rsidRPr="00012467" w:rsidRDefault="00C224A8" w:rsidP="00C224A8">
      <w:pPr>
        <w:spacing w:after="0" w:line="240" w:lineRule="auto"/>
        <w:rPr>
          <w:rFonts w:ascii="Inter" w:hAnsi="Inter" w:cstheme="minorHAnsi"/>
          <w:color w:val="7030A0"/>
        </w:rPr>
      </w:pPr>
    </w:p>
    <w:p w14:paraId="373CB708" w14:textId="62F4DAAF" w:rsidR="00C224A8" w:rsidRPr="00012467" w:rsidRDefault="00C224A8" w:rsidP="00C224A8">
      <w:pPr>
        <w:spacing w:after="0" w:line="240" w:lineRule="auto"/>
        <w:rPr>
          <w:rFonts w:ascii="Inter" w:hAnsi="Inter" w:cstheme="minorHAnsi"/>
          <w:color w:val="7030A0"/>
        </w:rPr>
      </w:pPr>
      <w:r w:rsidRPr="00012467">
        <w:rPr>
          <w:rFonts w:ascii="Inter" w:hAnsi="Inter" w:cstheme="minorHAnsi"/>
          <w:color w:val="7030A0"/>
        </w:rPr>
        <w:t xml:space="preserve">The practice must clearly document within the PCPs </w:t>
      </w:r>
      <w:r w:rsidR="00CE4922" w:rsidRPr="00012467">
        <w:rPr>
          <w:rFonts w:ascii="Inter" w:hAnsi="Inter" w:cstheme="minorHAnsi"/>
          <w:color w:val="7030A0"/>
        </w:rPr>
        <w:t>how ongoing monitoring is undertaken in the context of</w:t>
      </w:r>
      <w:r w:rsidRPr="00012467">
        <w:rPr>
          <w:rFonts w:ascii="Inter" w:hAnsi="Inter" w:cstheme="minorHAnsi"/>
          <w:color w:val="7030A0"/>
        </w:rPr>
        <w:t xml:space="preserve"> your practice. This should be tailored to suit depending on the size/nature of your practice.</w:t>
      </w:r>
    </w:p>
    <w:p w14:paraId="2F467E3B" w14:textId="77777777" w:rsidR="00C224A8" w:rsidRPr="00012467" w:rsidRDefault="00C224A8" w:rsidP="00C224A8">
      <w:pPr>
        <w:pStyle w:val="Heading1"/>
        <w:spacing w:before="0" w:line="240" w:lineRule="auto"/>
        <w:rPr>
          <w:rFonts w:ascii="Inter" w:hAnsi="Inter"/>
          <w:b/>
          <w:bCs/>
          <w:u w:val="single"/>
        </w:rPr>
      </w:pPr>
    </w:p>
    <w:p w14:paraId="53FF9CB9" w14:textId="1DADD2B7" w:rsidR="00C224A8" w:rsidRPr="00012467" w:rsidRDefault="00345952" w:rsidP="00345952">
      <w:pPr>
        <w:pStyle w:val="Heading2"/>
        <w:rPr>
          <w:rFonts w:ascii="Inter" w:hAnsi="Inter"/>
          <w:sz w:val="18"/>
          <w:szCs w:val="18"/>
          <w:u w:val="single"/>
        </w:rPr>
      </w:pPr>
      <w:bookmarkStart w:id="13" w:name="_Toc126840565"/>
      <w:r w:rsidRPr="00012467">
        <w:rPr>
          <w:rFonts w:ascii="Inter" w:hAnsi="Inter"/>
          <w:u w:val="single"/>
        </w:rPr>
        <w:t>R</w:t>
      </w:r>
      <w:r w:rsidR="00C224A8" w:rsidRPr="00012467">
        <w:rPr>
          <w:rFonts w:ascii="Inter" w:hAnsi="Inter"/>
          <w:u w:val="single"/>
        </w:rPr>
        <w:t>eliance</w:t>
      </w:r>
      <w:bookmarkEnd w:id="13"/>
      <w:r w:rsidR="000A02AB" w:rsidRPr="00012467">
        <w:rPr>
          <w:rFonts w:ascii="Inter" w:hAnsi="Inter"/>
          <w:u w:val="single"/>
        </w:rPr>
        <w:br/>
      </w:r>
    </w:p>
    <w:p w14:paraId="102C5095" w14:textId="3BAE3E45" w:rsidR="00C224A8" w:rsidRPr="00012467" w:rsidRDefault="00C224A8" w:rsidP="00C224A8">
      <w:pPr>
        <w:spacing w:after="0" w:line="240" w:lineRule="auto"/>
        <w:rPr>
          <w:rFonts w:ascii="Inter" w:hAnsi="Inter" w:cstheme="minorHAnsi"/>
          <w:sz w:val="18"/>
          <w:szCs w:val="18"/>
        </w:rPr>
      </w:pPr>
      <w:r w:rsidRPr="00012467">
        <w:rPr>
          <w:rFonts w:ascii="Inter" w:hAnsi="Inter" w:cstheme="minorHAnsi"/>
        </w:rPr>
        <w:t>LSAG guidance 6.23</w:t>
      </w:r>
      <w:r w:rsidR="000A02AB" w:rsidRPr="00012467">
        <w:rPr>
          <w:rFonts w:ascii="Inter" w:hAnsi="Inter" w:cstheme="minorHAnsi"/>
        </w:rPr>
        <w:br/>
      </w:r>
    </w:p>
    <w:p w14:paraId="0F1C22C6" w14:textId="79061295" w:rsidR="00C224A8" w:rsidRPr="00012467" w:rsidRDefault="00C224A8" w:rsidP="00C224A8">
      <w:pPr>
        <w:spacing w:after="0" w:line="240" w:lineRule="auto"/>
        <w:rPr>
          <w:rFonts w:ascii="Inter" w:hAnsi="Inter" w:cstheme="minorHAnsi"/>
        </w:rPr>
      </w:pPr>
      <w:r w:rsidRPr="00012467">
        <w:rPr>
          <w:rFonts w:ascii="Inter" w:hAnsi="Inter" w:cstheme="minorHAnsi"/>
        </w:rPr>
        <w:t>Under R.39, in certain circumstances, we may rely on another person to conduct CDD for us, subject to their agreement.</w:t>
      </w:r>
      <w:r w:rsidR="00071146" w:rsidRPr="00012467">
        <w:rPr>
          <w:rFonts w:ascii="Inter" w:hAnsi="Inter" w:cstheme="minorHAnsi"/>
        </w:rPr>
        <w:br/>
      </w:r>
    </w:p>
    <w:p w14:paraId="456EB3B6" w14:textId="239C09E4" w:rsidR="00C224A8" w:rsidRPr="00012467" w:rsidRDefault="00C224A8" w:rsidP="00C224A8">
      <w:pPr>
        <w:spacing w:after="0" w:line="240" w:lineRule="auto"/>
        <w:rPr>
          <w:rFonts w:ascii="Inter" w:hAnsi="Inter" w:cstheme="minorHAnsi"/>
        </w:rPr>
      </w:pPr>
      <w:r w:rsidRPr="00012467">
        <w:rPr>
          <w:rFonts w:ascii="Inter" w:hAnsi="Inter" w:cstheme="minorHAnsi"/>
        </w:rPr>
        <w:t>Reliance goes further than solely obtaining certified copies of documentation f</w:t>
      </w:r>
      <w:r w:rsidR="00CE4922" w:rsidRPr="00012467">
        <w:rPr>
          <w:rFonts w:ascii="Inter" w:hAnsi="Inter" w:cstheme="minorHAnsi"/>
        </w:rPr>
        <w:t>rom</w:t>
      </w:r>
      <w:r w:rsidRPr="00012467">
        <w:rPr>
          <w:rFonts w:ascii="Inter" w:hAnsi="Inter" w:cstheme="minorHAnsi"/>
        </w:rPr>
        <w:t xml:space="preserve"> other regulated professionals. </w:t>
      </w:r>
      <w:r w:rsidR="00071146" w:rsidRPr="00012467">
        <w:rPr>
          <w:rFonts w:ascii="Inter" w:hAnsi="Inter" w:cstheme="minorHAnsi"/>
        </w:rPr>
        <w:br/>
      </w:r>
    </w:p>
    <w:p w14:paraId="42F12648" w14:textId="77777777" w:rsidR="00C224A8" w:rsidRPr="00012467" w:rsidRDefault="00C224A8" w:rsidP="00C224A8">
      <w:pPr>
        <w:spacing w:after="0" w:line="240" w:lineRule="auto"/>
        <w:rPr>
          <w:rFonts w:ascii="Inter" w:hAnsi="Inter" w:cstheme="minorHAnsi"/>
          <w:color w:val="7030A0"/>
        </w:rPr>
      </w:pPr>
      <w:r w:rsidRPr="00012467">
        <w:rPr>
          <w:rFonts w:ascii="Inter" w:hAnsi="Inter" w:cstheme="minorHAnsi"/>
          <w:color w:val="7030A0"/>
        </w:rPr>
        <w:t xml:space="preserve">The Practice remains liable for any non-compliance with CDD requirements and therefore not all practices will choose to exercise their right to use Reliance. </w:t>
      </w:r>
    </w:p>
    <w:p w14:paraId="385677D7" w14:textId="2C00D9F2" w:rsidR="00C224A8" w:rsidRPr="00012467" w:rsidRDefault="00C224A8" w:rsidP="00C224A8">
      <w:pPr>
        <w:spacing w:after="0" w:line="240" w:lineRule="auto"/>
        <w:rPr>
          <w:rFonts w:ascii="Inter" w:hAnsi="Inter" w:cstheme="minorHAnsi"/>
          <w:color w:val="7030A0"/>
        </w:rPr>
      </w:pPr>
      <w:r w:rsidRPr="00012467">
        <w:rPr>
          <w:rFonts w:ascii="Inter" w:hAnsi="Inter" w:cstheme="minorHAnsi"/>
          <w:color w:val="7030A0"/>
        </w:rPr>
        <w:t xml:space="preserve">Should your practice decide to exercise your right to use Reliance, this must be clearly documented within your PCP’s. </w:t>
      </w:r>
      <w:r w:rsidR="00CE4922" w:rsidRPr="00012467">
        <w:rPr>
          <w:rFonts w:ascii="Inter" w:hAnsi="Inter" w:cstheme="minorHAnsi"/>
          <w:color w:val="7030A0"/>
        </w:rPr>
        <w:t>including how this is undertaken in the context of your</w:t>
      </w:r>
      <w:r w:rsidRPr="00012467">
        <w:rPr>
          <w:rFonts w:ascii="Inter" w:hAnsi="Inter" w:cstheme="minorHAnsi"/>
          <w:color w:val="7030A0"/>
        </w:rPr>
        <w:t xml:space="preserve"> practice and what steps should employees take to ensure they comply with Regulations.</w:t>
      </w:r>
    </w:p>
    <w:p w14:paraId="68404B38" w14:textId="77777777" w:rsidR="00C224A8" w:rsidRPr="00012467" w:rsidRDefault="00C224A8" w:rsidP="00C224A8">
      <w:pPr>
        <w:spacing w:after="0" w:line="240" w:lineRule="auto"/>
        <w:rPr>
          <w:rFonts w:ascii="Inter" w:hAnsi="Inter" w:cstheme="minorHAnsi"/>
          <w:color w:val="7030A0"/>
        </w:rPr>
      </w:pPr>
    </w:p>
    <w:p w14:paraId="6701B689" w14:textId="57126DAB" w:rsidR="002911E4" w:rsidRPr="00012467" w:rsidRDefault="00C224A8" w:rsidP="00071146">
      <w:pPr>
        <w:spacing w:after="0" w:line="240" w:lineRule="auto"/>
        <w:rPr>
          <w:rFonts w:ascii="Inter" w:hAnsi="Inter" w:cstheme="minorHAnsi"/>
          <w:color w:val="7030A0"/>
        </w:rPr>
      </w:pPr>
      <w:r w:rsidRPr="00012467">
        <w:rPr>
          <w:rFonts w:ascii="Inter" w:hAnsi="Inter" w:cstheme="minorHAnsi"/>
          <w:color w:val="7030A0"/>
        </w:rPr>
        <w:t>Should you decide not to exercise your rights to use Reliance as a form of CDD, this must also be clearly documented within your PCP’s.</w:t>
      </w:r>
      <w:r w:rsidR="00071146" w:rsidRPr="00012467">
        <w:rPr>
          <w:rFonts w:ascii="Inter" w:hAnsi="Inter" w:cstheme="minorHAnsi"/>
          <w:color w:val="7030A0"/>
        </w:rPr>
        <w:br/>
      </w:r>
    </w:p>
    <w:p w14:paraId="59443EEC" w14:textId="2DBF8F30" w:rsidR="000A02AB" w:rsidRPr="00012467" w:rsidRDefault="0013494E" w:rsidP="000A02AB">
      <w:pPr>
        <w:pStyle w:val="Heading1"/>
        <w:rPr>
          <w:rFonts w:ascii="Inter" w:hAnsi="Inter" w:cstheme="minorHAnsi"/>
          <w:sz w:val="18"/>
          <w:szCs w:val="18"/>
          <w:u w:val="single"/>
        </w:rPr>
      </w:pPr>
      <w:bookmarkStart w:id="14" w:name="_Toc126840566"/>
      <w:r w:rsidRPr="00012467">
        <w:rPr>
          <w:rFonts w:ascii="Inter" w:hAnsi="Inter" w:cstheme="minorHAnsi"/>
          <w:u w:val="single"/>
        </w:rPr>
        <w:lastRenderedPageBreak/>
        <w:t>Enhanced Due Diligence</w:t>
      </w:r>
      <w:r w:rsidR="00FC1F64" w:rsidRPr="00012467">
        <w:rPr>
          <w:rFonts w:ascii="Inter" w:hAnsi="Inter" w:cstheme="minorHAnsi"/>
          <w:u w:val="single"/>
        </w:rPr>
        <w:t xml:space="preserve"> (EDD)</w:t>
      </w:r>
      <w:bookmarkEnd w:id="14"/>
      <w:r w:rsidR="000A02AB" w:rsidRPr="00012467">
        <w:rPr>
          <w:rFonts w:ascii="Inter" w:hAnsi="Inter" w:cstheme="minorHAnsi"/>
          <w:u w:val="single"/>
        </w:rPr>
        <w:br/>
      </w:r>
    </w:p>
    <w:p w14:paraId="7EE5F4CD" w14:textId="289A0D48" w:rsidR="00645E4B" w:rsidRPr="00012467" w:rsidRDefault="00645E4B" w:rsidP="00DB6565">
      <w:pPr>
        <w:pStyle w:val="NoSpacing"/>
        <w:rPr>
          <w:rFonts w:ascii="Inter" w:hAnsi="Inter"/>
          <w:b/>
          <w:bCs/>
        </w:rPr>
      </w:pPr>
      <w:r w:rsidRPr="00012467">
        <w:rPr>
          <w:rFonts w:ascii="Inter" w:hAnsi="Inter"/>
          <w:b/>
          <w:bCs/>
        </w:rPr>
        <w:t>LSAG guidance 6.18</w:t>
      </w:r>
    </w:p>
    <w:p w14:paraId="38FC5C06" w14:textId="446315FD" w:rsidR="00362BCF" w:rsidRPr="00012467" w:rsidRDefault="00362BCF" w:rsidP="00DB6565">
      <w:pPr>
        <w:pStyle w:val="NoSpacing"/>
        <w:rPr>
          <w:rFonts w:ascii="Inter" w:hAnsi="Inter"/>
        </w:rPr>
      </w:pPr>
    </w:p>
    <w:p w14:paraId="284F7383" w14:textId="0AC228E0" w:rsidR="00362BCF" w:rsidRPr="00201108" w:rsidRDefault="00362BCF" w:rsidP="00DB6565">
      <w:pPr>
        <w:pStyle w:val="NoSpacing"/>
        <w:rPr>
          <w:rFonts w:ascii="Inter" w:hAnsi="Inter"/>
          <w:color w:val="7030A0"/>
        </w:rPr>
      </w:pPr>
      <w:r w:rsidRPr="00201108">
        <w:rPr>
          <w:rFonts w:ascii="Inter" w:hAnsi="Inter"/>
          <w:color w:val="7030A0"/>
        </w:rPr>
        <w:t xml:space="preserve">This section should clearly outline your Practices approach to EDD, when it would be applied and what steps employees should take to comply with the regulations and LSAG guidance. </w:t>
      </w:r>
    </w:p>
    <w:p w14:paraId="0BE0422A" w14:textId="77777777" w:rsidR="00FC1F64" w:rsidRPr="00012467" w:rsidRDefault="00FC1F64" w:rsidP="00DB6565">
      <w:pPr>
        <w:pStyle w:val="NoSpacing"/>
        <w:rPr>
          <w:rFonts w:ascii="Inter" w:hAnsi="Inter"/>
        </w:rPr>
      </w:pPr>
    </w:p>
    <w:p w14:paraId="4EC188AD" w14:textId="5F353617" w:rsidR="00FC1F64" w:rsidRPr="00012467" w:rsidRDefault="00FC1F64" w:rsidP="00DB6565">
      <w:pPr>
        <w:pStyle w:val="NoSpacing"/>
        <w:rPr>
          <w:rFonts w:ascii="Inter" w:hAnsi="Inter"/>
        </w:rPr>
      </w:pPr>
      <w:r w:rsidRPr="00012467">
        <w:rPr>
          <w:rFonts w:ascii="Inter" w:hAnsi="Inter"/>
        </w:rPr>
        <w:t xml:space="preserve">The Regulations specify that </w:t>
      </w:r>
      <w:r w:rsidR="00DB6565" w:rsidRPr="00012467">
        <w:rPr>
          <w:rFonts w:ascii="Inter" w:hAnsi="Inter"/>
        </w:rPr>
        <w:t>we</w:t>
      </w:r>
      <w:r w:rsidRPr="00012467">
        <w:rPr>
          <w:rFonts w:ascii="Inter" w:hAnsi="Inter"/>
        </w:rPr>
        <w:t xml:space="preserve"> must take measures to examine the background and purpose of the transaction and to increase the monitoring of the business relationship where </w:t>
      </w:r>
      <w:r w:rsidR="00FE6C36" w:rsidRPr="00012467">
        <w:rPr>
          <w:rFonts w:ascii="Inter" w:hAnsi="Inter"/>
        </w:rPr>
        <w:t>Enhanced Due Diligence (</w:t>
      </w:r>
      <w:r w:rsidR="00DB6565" w:rsidRPr="00012467">
        <w:rPr>
          <w:rFonts w:ascii="Inter" w:hAnsi="Inter"/>
        </w:rPr>
        <w:t>EDD</w:t>
      </w:r>
      <w:r w:rsidR="00FE6C36" w:rsidRPr="00012467">
        <w:rPr>
          <w:rFonts w:ascii="Inter" w:hAnsi="Inter"/>
        </w:rPr>
        <w:t>)</w:t>
      </w:r>
      <w:r w:rsidRPr="00012467">
        <w:rPr>
          <w:rFonts w:ascii="Inter" w:hAnsi="Inter"/>
        </w:rPr>
        <w:t xml:space="preserve"> is required. The Regulations are not prescriptive about exactly what must be included in EDD, with the exception of PEP’s</w:t>
      </w:r>
      <w:r w:rsidR="00DB6565" w:rsidRPr="00012467">
        <w:rPr>
          <w:rFonts w:ascii="Inter" w:hAnsi="Inter"/>
        </w:rPr>
        <w:t xml:space="preserve"> (please see </w:t>
      </w:r>
      <w:r w:rsidR="00362BCF" w:rsidRPr="00012467">
        <w:rPr>
          <w:rFonts w:ascii="Inter" w:hAnsi="Inter"/>
        </w:rPr>
        <w:t>separate s</w:t>
      </w:r>
      <w:r w:rsidR="00DB6565" w:rsidRPr="00012467">
        <w:rPr>
          <w:rFonts w:ascii="Inter" w:hAnsi="Inter"/>
        </w:rPr>
        <w:t>ection on PEPs within this document</w:t>
      </w:r>
      <w:r w:rsidR="00362BCF" w:rsidRPr="00012467">
        <w:rPr>
          <w:rFonts w:ascii="Inter" w:hAnsi="Inter"/>
        </w:rPr>
        <w:t xml:space="preserve"> for further information</w:t>
      </w:r>
      <w:r w:rsidR="00DB6565" w:rsidRPr="00012467">
        <w:rPr>
          <w:rFonts w:ascii="Inter" w:hAnsi="Inter"/>
        </w:rPr>
        <w:t>).</w:t>
      </w:r>
    </w:p>
    <w:p w14:paraId="3608D94E" w14:textId="77777777" w:rsidR="0074305F" w:rsidRPr="00012467" w:rsidRDefault="0074305F" w:rsidP="0074305F">
      <w:pPr>
        <w:pStyle w:val="NoSpacing"/>
        <w:rPr>
          <w:rFonts w:ascii="Inter" w:hAnsi="Inter" w:cstheme="minorHAnsi"/>
        </w:rPr>
      </w:pPr>
    </w:p>
    <w:p w14:paraId="6F949B43" w14:textId="60025F3E" w:rsidR="0074305F" w:rsidRPr="00012467" w:rsidRDefault="00DB6565" w:rsidP="0074305F">
      <w:pPr>
        <w:pStyle w:val="NoSpacing"/>
        <w:rPr>
          <w:rFonts w:ascii="Inter" w:hAnsi="Inter" w:cstheme="minorHAnsi"/>
        </w:rPr>
      </w:pPr>
      <w:r w:rsidRPr="00012467">
        <w:rPr>
          <w:rFonts w:ascii="Inter" w:hAnsi="Inter" w:cstheme="minorHAnsi"/>
        </w:rPr>
        <w:t>EDD</w:t>
      </w:r>
      <w:r w:rsidR="0074305F" w:rsidRPr="00012467">
        <w:rPr>
          <w:rFonts w:ascii="Inter" w:hAnsi="Inter" w:cstheme="minorHAnsi"/>
        </w:rPr>
        <w:t xml:space="preserve"> is required where there is a higher risk of money laundering or terrorist financing. In </w:t>
      </w:r>
      <w:r w:rsidR="00081825" w:rsidRPr="00012467">
        <w:rPr>
          <w:rFonts w:ascii="Inter" w:hAnsi="Inter" w:cstheme="minorHAnsi"/>
        </w:rPr>
        <w:t>d</w:t>
      </w:r>
      <w:r w:rsidR="0074305F" w:rsidRPr="00012467">
        <w:rPr>
          <w:rFonts w:ascii="Inter" w:hAnsi="Inter" w:cstheme="minorHAnsi"/>
        </w:rPr>
        <w:t xml:space="preserve">etermining whether there is a higher risk of money laundering or terrorist financing </w:t>
      </w:r>
      <w:r w:rsidR="00362BCF" w:rsidRPr="00012467">
        <w:rPr>
          <w:rFonts w:ascii="Inter" w:hAnsi="Inter" w:cstheme="minorHAnsi"/>
        </w:rPr>
        <w:t>in each</w:t>
      </w:r>
      <w:r w:rsidR="0074305F" w:rsidRPr="00012467">
        <w:rPr>
          <w:rFonts w:ascii="Inter" w:hAnsi="Inter" w:cstheme="minorHAnsi"/>
        </w:rPr>
        <w:t xml:space="preserve"> case, we must consider the risk factors set out in R</w:t>
      </w:r>
      <w:r w:rsidR="00AF7125" w:rsidRPr="00012467">
        <w:rPr>
          <w:rFonts w:ascii="Inter" w:hAnsi="Inter" w:cstheme="minorHAnsi"/>
        </w:rPr>
        <w:t>.</w:t>
      </w:r>
      <w:r w:rsidR="0074305F" w:rsidRPr="00012467">
        <w:rPr>
          <w:rFonts w:ascii="Inter" w:hAnsi="Inter" w:cstheme="minorHAnsi"/>
        </w:rPr>
        <w:t>33(6), along with the outcomes of the practice-wide, client and matter risk assessments.</w:t>
      </w:r>
    </w:p>
    <w:p w14:paraId="4B4924AB" w14:textId="77777777" w:rsidR="00BC03FC" w:rsidRPr="00012467" w:rsidRDefault="00BC03FC" w:rsidP="0074305F">
      <w:pPr>
        <w:pStyle w:val="NoSpacing"/>
        <w:rPr>
          <w:rFonts w:ascii="Inter" w:hAnsi="Inter" w:cstheme="minorHAnsi"/>
        </w:rPr>
      </w:pPr>
    </w:p>
    <w:p w14:paraId="5F982AE7" w14:textId="05E49E29" w:rsidR="00A10CFF" w:rsidRPr="00012467" w:rsidRDefault="00502F1D" w:rsidP="00A10CFF">
      <w:pPr>
        <w:pStyle w:val="NoSpacing"/>
        <w:rPr>
          <w:rFonts w:ascii="Inter" w:hAnsi="Inter" w:cstheme="minorHAnsi"/>
        </w:rPr>
      </w:pPr>
      <w:r w:rsidRPr="00012467">
        <w:rPr>
          <w:rFonts w:ascii="Inter" w:hAnsi="Inter" w:cstheme="minorHAnsi"/>
        </w:rPr>
        <w:t xml:space="preserve">HM Treasury released an Advisory notice </w:t>
      </w:r>
      <w:r w:rsidR="00495D46" w:rsidRPr="00012467">
        <w:rPr>
          <w:rFonts w:ascii="Inter" w:hAnsi="Inter" w:cstheme="minorHAnsi"/>
        </w:rPr>
        <w:t>which</w:t>
      </w:r>
      <w:r w:rsidRPr="00012467">
        <w:rPr>
          <w:rFonts w:ascii="Inter" w:hAnsi="Inter" w:cstheme="minorHAnsi"/>
        </w:rPr>
        <w:t xml:space="preserve"> came</w:t>
      </w:r>
      <w:r w:rsidR="00A10CFF" w:rsidRPr="00012467">
        <w:rPr>
          <w:rFonts w:ascii="Inter" w:hAnsi="Inter" w:cstheme="minorHAnsi"/>
        </w:rPr>
        <w:t xml:space="preserve"> into force on 22 January 2024</w:t>
      </w:r>
      <w:r w:rsidR="00495D46" w:rsidRPr="00012467">
        <w:rPr>
          <w:rFonts w:ascii="Inter" w:hAnsi="Inter" w:cstheme="minorHAnsi"/>
        </w:rPr>
        <w:t xml:space="preserve">, this note </w:t>
      </w:r>
      <w:r w:rsidR="00A10CFF" w:rsidRPr="00012467">
        <w:rPr>
          <w:rFonts w:ascii="Inter" w:hAnsi="Inter" w:cstheme="minorHAnsi"/>
        </w:rPr>
        <w:t>amend</w:t>
      </w:r>
      <w:r w:rsidRPr="00012467">
        <w:rPr>
          <w:rFonts w:ascii="Inter" w:hAnsi="Inter" w:cstheme="minorHAnsi"/>
        </w:rPr>
        <w:t>ed</w:t>
      </w:r>
      <w:r w:rsidR="00A10CFF" w:rsidRPr="00012467">
        <w:rPr>
          <w:rFonts w:ascii="Inter" w:hAnsi="Inter" w:cstheme="minorHAnsi"/>
        </w:rPr>
        <w:t xml:space="preserve"> the definition of HRTC. </w:t>
      </w:r>
      <w:r w:rsidR="004A06CE" w:rsidRPr="00012467">
        <w:rPr>
          <w:rFonts w:ascii="Inter" w:hAnsi="Inter" w:cstheme="minorHAnsi"/>
        </w:rPr>
        <w:t>It</w:t>
      </w:r>
      <w:r w:rsidRPr="00012467">
        <w:rPr>
          <w:rFonts w:ascii="Inter" w:hAnsi="Inter" w:cstheme="minorHAnsi"/>
        </w:rPr>
        <w:t xml:space="preserve"> removes</w:t>
      </w:r>
      <w:r w:rsidR="00A10CFF" w:rsidRPr="00012467">
        <w:rPr>
          <w:rFonts w:ascii="Inter" w:hAnsi="Inter" w:cstheme="minorHAnsi"/>
        </w:rPr>
        <w:t xml:space="preserve"> Schedule 3ZA containing the list of HRTCs in the MLRs. Instead of referring to a separate schedule, Regulation 33(3)(a) will now define an HRTC as:</w:t>
      </w:r>
    </w:p>
    <w:p w14:paraId="6BB2BF00" w14:textId="77777777" w:rsidR="00A10CFF" w:rsidRPr="00012467" w:rsidRDefault="00A10CFF" w:rsidP="00A10CFF">
      <w:pPr>
        <w:pStyle w:val="NoSpacing"/>
        <w:rPr>
          <w:rFonts w:ascii="Inter" w:hAnsi="Inter" w:cstheme="minorHAnsi"/>
        </w:rPr>
      </w:pPr>
    </w:p>
    <w:p w14:paraId="43565019" w14:textId="04D3E354" w:rsidR="00A10CFF" w:rsidRPr="00012467" w:rsidRDefault="00A10CFF" w:rsidP="004A06CE">
      <w:pPr>
        <w:pStyle w:val="NoSpacing"/>
        <w:numPr>
          <w:ilvl w:val="0"/>
          <w:numId w:val="34"/>
        </w:numPr>
        <w:rPr>
          <w:rFonts w:ascii="Inter" w:hAnsi="Inter" w:cstheme="minorHAnsi"/>
        </w:rPr>
      </w:pPr>
      <w:r w:rsidRPr="00012467">
        <w:rPr>
          <w:rFonts w:ascii="Inter" w:hAnsi="Inter" w:cstheme="minorHAnsi"/>
        </w:rPr>
        <w:t>a country named on either of the following lists published by the Financial Action Task Force</w:t>
      </w:r>
      <w:r w:rsidR="00B61CEA" w:rsidRPr="00012467">
        <w:rPr>
          <w:rFonts w:ascii="Inter" w:hAnsi="Inter" w:cstheme="minorHAnsi"/>
        </w:rPr>
        <w:t xml:space="preserve"> (FATF)</w:t>
      </w:r>
      <w:r w:rsidRPr="00012467">
        <w:rPr>
          <w:rFonts w:ascii="Inter" w:hAnsi="Inter" w:cstheme="minorHAnsi"/>
        </w:rPr>
        <w:t xml:space="preserve"> as they have effect from time to time—</w:t>
      </w:r>
    </w:p>
    <w:p w14:paraId="614B948A" w14:textId="77777777" w:rsidR="00A10CFF" w:rsidRPr="00012467" w:rsidRDefault="00A10CFF" w:rsidP="00A10CFF">
      <w:pPr>
        <w:pStyle w:val="NoSpacing"/>
        <w:rPr>
          <w:rFonts w:ascii="Inter" w:hAnsi="Inter" w:cstheme="minorHAnsi"/>
        </w:rPr>
      </w:pPr>
    </w:p>
    <w:p w14:paraId="2B8E5A96" w14:textId="1E6C74D4" w:rsidR="00A10CFF" w:rsidRPr="00012467" w:rsidRDefault="00A10CFF" w:rsidP="004A06CE">
      <w:pPr>
        <w:pStyle w:val="NoSpacing"/>
        <w:numPr>
          <w:ilvl w:val="0"/>
          <w:numId w:val="35"/>
        </w:numPr>
        <w:rPr>
          <w:rFonts w:ascii="Inter" w:hAnsi="Inter" w:cstheme="minorHAnsi"/>
        </w:rPr>
      </w:pPr>
      <w:r w:rsidRPr="00012467">
        <w:rPr>
          <w:rFonts w:ascii="Inter" w:hAnsi="Inter" w:cstheme="minorHAnsi"/>
        </w:rPr>
        <w:t xml:space="preserve">High-Risk Jurisdictions subject to a Call for </w:t>
      </w:r>
      <w:r w:rsidR="00323A25" w:rsidRPr="00012467">
        <w:rPr>
          <w:rFonts w:ascii="Inter" w:hAnsi="Inter" w:cstheme="minorHAnsi"/>
        </w:rPr>
        <w:t>Action.</w:t>
      </w:r>
    </w:p>
    <w:p w14:paraId="0F35E7EA" w14:textId="77777777" w:rsidR="00A10CFF" w:rsidRPr="00012467" w:rsidRDefault="00A10CFF" w:rsidP="00A10CFF">
      <w:pPr>
        <w:pStyle w:val="NoSpacing"/>
        <w:rPr>
          <w:rFonts w:ascii="Inter" w:hAnsi="Inter" w:cstheme="minorHAnsi"/>
        </w:rPr>
      </w:pPr>
    </w:p>
    <w:p w14:paraId="28E8E819" w14:textId="220EB10F" w:rsidR="00BC03FC" w:rsidRPr="00012467" w:rsidRDefault="00A10CFF" w:rsidP="004A06CE">
      <w:pPr>
        <w:pStyle w:val="NoSpacing"/>
        <w:numPr>
          <w:ilvl w:val="0"/>
          <w:numId w:val="35"/>
        </w:numPr>
        <w:rPr>
          <w:rFonts w:ascii="Inter" w:hAnsi="Inter" w:cstheme="minorHAnsi"/>
        </w:rPr>
      </w:pPr>
      <w:r w:rsidRPr="00012467">
        <w:rPr>
          <w:rFonts w:ascii="Inter" w:hAnsi="Inter" w:cstheme="minorHAnsi"/>
        </w:rPr>
        <w:t>(ii) Jurisdictions under Increased Monitoring</w:t>
      </w:r>
    </w:p>
    <w:p w14:paraId="204A61A2" w14:textId="60904231" w:rsidR="00FC0917" w:rsidRPr="00012467" w:rsidRDefault="00FC0917" w:rsidP="0074305F">
      <w:pPr>
        <w:pStyle w:val="NoSpacing"/>
        <w:rPr>
          <w:rFonts w:ascii="Inter" w:hAnsi="Inter" w:cstheme="minorHAnsi"/>
        </w:rPr>
      </w:pPr>
    </w:p>
    <w:p w14:paraId="4B04383F" w14:textId="58B15A14" w:rsidR="00B61CEA" w:rsidRPr="00012467" w:rsidRDefault="00B61CEA" w:rsidP="0074305F">
      <w:pPr>
        <w:pStyle w:val="NoSpacing"/>
        <w:rPr>
          <w:rFonts w:ascii="Inter" w:hAnsi="Inter" w:cstheme="minorHAnsi"/>
        </w:rPr>
      </w:pPr>
      <w:r w:rsidRPr="00012467">
        <w:rPr>
          <w:rFonts w:ascii="Inter" w:hAnsi="Inter" w:cstheme="minorHAnsi"/>
        </w:rPr>
        <w:t>In order to keep abreast of which countries are HRTCs, relevant persons will now have to refer directly to lists published by the Financial Action Task Force (‘FATF’) of ‘Jurisdictions Under Increased Monitoring’ and ‘High-Risk Jurisdictions subject to a Call for Action’. These lists are updated three times a year, on the final day of each FATF Plenary meeting, held every February, June and October.</w:t>
      </w:r>
    </w:p>
    <w:p w14:paraId="6DC7AAC2" w14:textId="77777777" w:rsidR="00B61CEA" w:rsidRPr="00012467" w:rsidRDefault="00B61CEA" w:rsidP="0074305F">
      <w:pPr>
        <w:pStyle w:val="NoSpacing"/>
        <w:rPr>
          <w:rFonts w:ascii="Inter" w:hAnsi="Inter" w:cstheme="minorHAnsi"/>
        </w:rPr>
      </w:pPr>
    </w:p>
    <w:p w14:paraId="2D054AF7" w14:textId="1BB19891" w:rsidR="0074305F" w:rsidRPr="00012467" w:rsidRDefault="0074305F" w:rsidP="00C66AE1">
      <w:pPr>
        <w:pStyle w:val="Heading2"/>
        <w:rPr>
          <w:rFonts w:ascii="Inter" w:hAnsi="Inter" w:cstheme="majorHAnsi"/>
          <w:sz w:val="18"/>
          <w:szCs w:val="18"/>
          <w:u w:val="single"/>
        </w:rPr>
      </w:pPr>
      <w:bookmarkStart w:id="15" w:name="_Toc126840567"/>
      <w:r w:rsidRPr="00012467">
        <w:rPr>
          <w:rFonts w:ascii="Inter" w:hAnsi="Inter" w:cstheme="majorHAnsi"/>
          <w:sz w:val="24"/>
          <w:szCs w:val="24"/>
          <w:u w:val="single"/>
        </w:rPr>
        <w:t>When to apply EDD</w:t>
      </w:r>
      <w:bookmarkEnd w:id="15"/>
      <w:r w:rsidR="000A02AB" w:rsidRPr="00012467">
        <w:rPr>
          <w:rFonts w:ascii="Inter" w:hAnsi="Inter" w:cstheme="majorHAnsi"/>
          <w:sz w:val="24"/>
          <w:szCs w:val="24"/>
          <w:u w:val="single"/>
        </w:rPr>
        <w:br/>
      </w:r>
    </w:p>
    <w:p w14:paraId="5B13AA6B" w14:textId="4E6B2BCE" w:rsidR="0074305F" w:rsidRPr="00012467" w:rsidRDefault="0074305F" w:rsidP="0074305F">
      <w:pPr>
        <w:pStyle w:val="NoSpacing"/>
        <w:rPr>
          <w:rFonts w:ascii="Inter" w:hAnsi="Inter" w:cstheme="minorHAnsi"/>
          <w:b/>
          <w:bCs/>
        </w:rPr>
      </w:pPr>
      <w:r w:rsidRPr="00012467">
        <w:rPr>
          <w:rFonts w:ascii="Inter" w:hAnsi="Inter" w:cstheme="minorHAnsi"/>
          <w:b/>
          <w:bCs/>
        </w:rPr>
        <w:t>LSAG guidance 6.19</w:t>
      </w:r>
    </w:p>
    <w:p w14:paraId="007C616B" w14:textId="3EB208B5" w:rsidR="00C708BF" w:rsidRPr="00012467" w:rsidRDefault="00C708BF" w:rsidP="0074305F">
      <w:pPr>
        <w:pStyle w:val="NoSpacing"/>
        <w:rPr>
          <w:rFonts w:ascii="Inter" w:hAnsi="Inter" w:cstheme="minorHAnsi"/>
        </w:rPr>
      </w:pPr>
    </w:p>
    <w:p w14:paraId="0971DFCE" w14:textId="11071A33" w:rsidR="00C708BF" w:rsidRPr="00012467" w:rsidRDefault="00C708BF" w:rsidP="00C708BF">
      <w:pPr>
        <w:pStyle w:val="NoSpacing"/>
        <w:rPr>
          <w:rFonts w:ascii="Inter" w:hAnsi="Inter" w:cstheme="minorHAnsi"/>
        </w:rPr>
      </w:pPr>
      <w:r w:rsidRPr="00012467">
        <w:rPr>
          <w:rFonts w:ascii="Inter" w:hAnsi="Inter" w:cstheme="minorHAnsi"/>
        </w:rPr>
        <w:t xml:space="preserve">EDD </w:t>
      </w:r>
      <w:r w:rsidRPr="00012467">
        <w:rPr>
          <w:rFonts w:ascii="Inter" w:hAnsi="Inter" w:cstheme="minorHAnsi"/>
          <w:b/>
          <w:bCs/>
          <w:u w:val="single"/>
        </w:rPr>
        <w:t>must</w:t>
      </w:r>
      <w:r w:rsidRPr="00012467">
        <w:rPr>
          <w:rFonts w:ascii="Inter" w:hAnsi="Inter" w:cstheme="minorHAnsi"/>
        </w:rPr>
        <w:t xml:space="preserve"> be applied in the following circumstances:</w:t>
      </w:r>
    </w:p>
    <w:p w14:paraId="5884C894" w14:textId="790FBC7D" w:rsidR="00C708BF" w:rsidRPr="00012467" w:rsidRDefault="00C708BF" w:rsidP="00C708BF">
      <w:pPr>
        <w:pStyle w:val="NoSpacing"/>
        <w:rPr>
          <w:rFonts w:ascii="Inter" w:hAnsi="Inter" w:cstheme="minorHAnsi"/>
        </w:rPr>
      </w:pPr>
    </w:p>
    <w:p w14:paraId="48954FB9" w14:textId="77777777" w:rsidR="00A21BAA" w:rsidRPr="00012467" w:rsidRDefault="00A21BAA" w:rsidP="004A06CE">
      <w:pPr>
        <w:pStyle w:val="NoSpacing"/>
        <w:numPr>
          <w:ilvl w:val="0"/>
          <w:numId w:val="26"/>
        </w:numPr>
        <w:rPr>
          <w:rFonts w:ascii="Inter" w:hAnsi="Inter" w:cstheme="minorHAnsi"/>
        </w:rPr>
      </w:pPr>
      <w:r w:rsidRPr="00012467">
        <w:rPr>
          <w:rFonts w:ascii="Inter" w:hAnsi="Inter" w:cstheme="minorHAnsi"/>
        </w:rPr>
        <w:t>Regulation 33(1)(b) requires businesses to apply enhanced customer due diligence and enhanced ongoing monitoring in any business relationship with a person established in a high-risk third country or in relation to any relevant transaction where either of the parties to the transaction is established in a high-risk third country. This means that relevant persons are obliged to carry out enhanced customer due diligence and enhanced ongoing monitoring on all customers, new and existing, established in high-risk third countries.</w:t>
      </w:r>
    </w:p>
    <w:p w14:paraId="069702F8" w14:textId="18B0901C" w:rsidR="00DC04E4" w:rsidRPr="00012467" w:rsidRDefault="00DC04E4" w:rsidP="004A06CE">
      <w:pPr>
        <w:pStyle w:val="NoSpacing"/>
        <w:numPr>
          <w:ilvl w:val="0"/>
          <w:numId w:val="26"/>
        </w:numPr>
        <w:rPr>
          <w:rFonts w:ascii="Inter" w:hAnsi="Inter" w:cstheme="minorHAnsi"/>
        </w:rPr>
      </w:pPr>
      <w:r w:rsidRPr="00012467">
        <w:rPr>
          <w:rFonts w:ascii="Inter" w:hAnsi="Inter" w:cstheme="minorHAnsi"/>
        </w:rPr>
        <w:lastRenderedPageBreak/>
        <w:t>If the customer has been deemed to be of PEP status (please see section on PEP</w:t>
      </w:r>
      <w:r w:rsidR="00CE4922" w:rsidRPr="00012467">
        <w:rPr>
          <w:rFonts w:ascii="Inter" w:hAnsi="Inter" w:cstheme="minorHAnsi"/>
        </w:rPr>
        <w:t>s</w:t>
      </w:r>
      <w:r w:rsidRPr="00012467">
        <w:rPr>
          <w:rFonts w:ascii="Inter" w:hAnsi="Inter" w:cstheme="minorHAnsi"/>
        </w:rPr>
        <w:t xml:space="preserve"> for further details)</w:t>
      </w:r>
    </w:p>
    <w:p w14:paraId="30E0F925" w14:textId="680A16E4" w:rsidR="00DC04E4" w:rsidRPr="00012467" w:rsidRDefault="00DC04E4" w:rsidP="004A06CE">
      <w:pPr>
        <w:pStyle w:val="NoSpacing"/>
        <w:numPr>
          <w:ilvl w:val="0"/>
          <w:numId w:val="26"/>
        </w:numPr>
        <w:rPr>
          <w:rFonts w:ascii="Inter" w:hAnsi="Inter" w:cstheme="minorHAnsi"/>
        </w:rPr>
      </w:pPr>
      <w:r w:rsidRPr="00012467">
        <w:rPr>
          <w:rFonts w:ascii="Inter" w:hAnsi="Inter" w:cstheme="minorHAnsi"/>
        </w:rPr>
        <w:t>In any case where it has been discovered that the client has provided false or stolen ID documents</w:t>
      </w:r>
      <w:r w:rsidR="00FE6C36" w:rsidRPr="00012467">
        <w:rPr>
          <w:rFonts w:ascii="Inter" w:hAnsi="Inter" w:cstheme="minorHAnsi"/>
        </w:rPr>
        <w:t>.</w:t>
      </w:r>
    </w:p>
    <w:p w14:paraId="7F96E0F4" w14:textId="5A40DF15" w:rsidR="00DC04E4" w:rsidRPr="00012467" w:rsidRDefault="00DC04E4" w:rsidP="00DC04E4">
      <w:pPr>
        <w:pStyle w:val="NoSpacing"/>
        <w:rPr>
          <w:rFonts w:ascii="Inter" w:hAnsi="Inter" w:cstheme="minorHAnsi"/>
        </w:rPr>
      </w:pPr>
    </w:p>
    <w:p w14:paraId="05BB1EF2" w14:textId="22FC50A1" w:rsidR="00DC04E4" w:rsidRPr="00012467" w:rsidRDefault="00362BCF" w:rsidP="00DC04E4">
      <w:pPr>
        <w:pStyle w:val="NoSpacing"/>
        <w:rPr>
          <w:rFonts w:ascii="Inter" w:hAnsi="Inter" w:cstheme="minorHAnsi"/>
        </w:rPr>
      </w:pPr>
      <w:r w:rsidRPr="00012467">
        <w:rPr>
          <w:rFonts w:ascii="Inter" w:hAnsi="Inter" w:cstheme="minorHAnsi"/>
        </w:rPr>
        <w:t>And i</w:t>
      </w:r>
      <w:r w:rsidR="00DC04E4" w:rsidRPr="00012467">
        <w:rPr>
          <w:rFonts w:ascii="Inter" w:hAnsi="Inter" w:cstheme="minorHAnsi"/>
        </w:rPr>
        <w:t>n any case where:</w:t>
      </w:r>
    </w:p>
    <w:p w14:paraId="2CA39B1A" w14:textId="77777777" w:rsidR="00362BCF" w:rsidRPr="00012467" w:rsidRDefault="00362BCF" w:rsidP="00DC04E4">
      <w:pPr>
        <w:pStyle w:val="NoSpacing"/>
        <w:rPr>
          <w:rFonts w:ascii="Inter" w:hAnsi="Inter" w:cstheme="minorHAnsi"/>
        </w:rPr>
      </w:pPr>
    </w:p>
    <w:p w14:paraId="70C9F8A6" w14:textId="649B7239" w:rsidR="00DC04E4" w:rsidRPr="00012467" w:rsidRDefault="00DC04E4" w:rsidP="004A06CE">
      <w:pPr>
        <w:pStyle w:val="NoSpacing"/>
        <w:numPr>
          <w:ilvl w:val="0"/>
          <w:numId w:val="27"/>
        </w:numPr>
        <w:rPr>
          <w:rFonts w:ascii="Inter" w:hAnsi="Inter" w:cstheme="minorHAnsi"/>
        </w:rPr>
      </w:pPr>
      <w:r w:rsidRPr="00012467">
        <w:rPr>
          <w:rFonts w:ascii="Inter" w:hAnsi="Inter" w:cstheme="minorHAnsi"/>
        </w:rPr>
        <w:t>A transaction is complex or unusually large</w:t>
      </w:r>
    </w:p>
    <w:p w14:paraId="3A79F19D" w14:textId="7454A7FF" w:rsidR="00DC04E4" w:rsidRPr="00012467" w:rsidRDefault="00DC04E4" w:rsidP="004A06CE">
      <w:pPr>
        <w:pStyle w:val="NoSpacing"/>
        <w:numPr>
          <w:ilvl w:val="0"/>
          <w:numId w:val="27"/>
        </w:numPr>
        <w:rPr>
          <w:rFonts w:ascii="Inter" w:hAnsi="Inter" w:cstheme="minorHAnsi"/>
        </w:rPr>
      </w:pPr>
      <w:r w:rsidRPr="00012467">
        <w:rPr>
          <w:rFonts w:ascii="Inter" w:hAnsi="Inter" w:cstheme="minorHAnsi"/>
        </w:rPr>
        <w:t>There is an unusual pattern of transactions</w:t>
      </w:r>
    </w:p>
    <w:p w14:paraId="6EBDE5BC" w14:textId="5AD37E59" w:rsidR="004C091B" w:rsidRPr="00012467" w:rsidRDefault="004C091B" w:rsidP="004A06CE">
      <w:pPr>
        <w:pStyle w:val="NoSpacing"/>
        <w:numPr>
          <w:ilvl w:val="0"/>
          <w:numId w:val="27"/>
        </w:numPr>
        <w:rPr>
          <w:rFonts w:ascii="Inter" w:hAnsi="Inter" w:cstheme="minorHAnsi"/>
        </w:rPr>
      </w:pPr>
      <w:r w:rsidRPr="00012467">
        <w:rPr>
          <w:rFonts w:ascii="Inter" w:hAnsi="Inter" w:cstheme="minorHAnsi"/>
        </w:rPr>
        <w:t>The transaction(s) have no apparent economic or legal purpose</w:t>
      </w:r>
    </w:p>
    <w:p w14:paraId="6BBF08BC" w14:textId="6DE2D350" w:rsidR="00C708BF" w:rsidRPr="00012467" w:rsidRDefault="004C091B" w:rsidP="004A06CE">
      <w:pPr>
        <w:pStyle w:val="NoSpacing"/>
        <w:numPr>
          <w:ilvl w:val="0"/>
          <w:numId w:val="27"/>
        </w:numPr>
        <w:rPr>
          <w:rFonts w:ascii="Inter" w:hAnsi="Inter" w:cstheme="minorHAnsi"/>
        </w:rPr>
      </w:pPr>
      <w:r w:rsidRPr="00012467">
        <w:rPr>
          <w:rFonts w:ascii="Inter" w:hAnsi="Inter" w:cstheme="minorHAnsi"/>
        </w:rPr>
        <w:t xml:space="preserve">In any other case </w:t>
      </w:r>
      <w:r w:rsidR="00AF7125" w:rsidRPr="00012467">
        <w:rPr>
          <w:rFonts w:ascii="Inter" w:hAnsi="Inter" w:cstheme="minorHAnsi"/>
        </w:rPr>
        <w:t>whereby,</w:t>
      </w:r>
      <w:r w:rsidRPr="00012467">
        <w:rPr>
          <w:rFonts w:ascii="Inter" w:hAnsi="Inter" w:cstheme="minorHAnsi"/>
        </w:rPr>
        <w:t xml:space="preserve"> its nature can present a higher risk of money laundering or terrorist financing</w:t>
      </w:r>
      <w:r w:rsidR="00FE6C36" w:rsidRPr="00012467">
        <w:rPr>
          <w:rFonts w:ascii="Inter" w:hAnsi="Inter" w:cstheme="minorHAnsi"/>
        </w:rPr>
        <w:t>.</w:t>
      </w:r>
      <w:r w:rsidR="00C708BF" w:rsidRPr="00012467">
        <w:rPr>
          <w:rFonts w:ascii="Inter" w:hAnsi="Inter" w:cstheme="minorHAnsi"/>
        </w:rPr>
        <w:t xml:space="preserve"> </w:t>
      </w:r>
    </w:p>
    <w:p w14:paraId="4F04E27E" w14:textId="77777777" w:rsidR="00C708BF" w:rsidRPr="00012467" w:rsidRDefault="00C708BF" w:rsidP="0074305F">
      <w:pPr>
        <w:pStyle w:val="NoSpacing"/>
        <w:rPr>
          <w:rFonts w:ascii="Inter" w:hAnsi="Inter"/>
        </w:rPr>
      </w:pPr>
    </w:p>
    <w:p w14:paraId="3C77A3D6" w14:textId="5DF90D6C" w:rsidR="0074305F" w:rsidRPr="00012467" w:rsidRDefault="003F103F" w:rsidP="0074305F">
      <w:pPr>
        <w:pStyle w:val="NoSpacing"/>
        <w:rPr>
          <w:rFonts w:ascii="Inter" w:hAnsi="Inter"/>
        </w:rPr>
      </w:pPr>
      <w:r w:rsidRPr="00012467">
        <w:rPr>
          <w:rFonts w:ascii="Inter" w:hAnsi="Inter"/>
        </w:rPr>
        <w:t>R</w:t>
      </w:r>
      <w:r w:rsidR="00AF7125" w:rsidRPr="00012467">
        <w:rPr>
          <w:rFonts w:ascii="Inter" w:hAnsi="Inter"/>
        </w:rPr>
        <w:t>.</w:t>
      </w:r>
      <w:r w:rsidRPr="00012467">
        <w:rPr>
          <w:rFonts w:ascii="Inter" w:hAnsi="Inter"/>
        </w:rPr>
        <w:t>33(6) – Risk Factors you must consider when determining whether to apply EDD</w:t>
      </w:r>
    </w:p>
    <w:p w14:paraId="246120E2" w14:textId="3D374642" w:rsidR="003F103F" w:rsidRPr="00012467" w:rsidRDefault="003F103F" w:rsidP="0074305F">
      <w:pPr>
        <w:pStyle w:val="NoSpacing"/>
        <w:rPr>
          <w:rFonts w:ascii="Inter" w:hAnsi="Inter" w:cstheme="minorHAnsi"/>
        </w:rPr>
      </w:pPr>
    </w:p>
    <w:p w14:paraId="0C8F28BF" w14:textId="20C245CC" w:rsidR="003F103F" w:rsidRPr="00012467" w:rsidRDefault="003F103F" w:rsidP="004A06CE">
      <w:pPr>
        <w:pStyle w:val="NoSpacing"/>
        <w:numPr>
          <w:ilvl w:val="0"/>
          <w:numId w:val="13"/>
        </w:numPr>
        <w:rPr>
          <w:rFonts w:ascii="Inter" w:hAnsi="Inter" w:cstheme="minorHAnsi"/>
        </w:rPr>
      </w:pPr>
      <w:r w:rsidRPr="00012467">
        <w:rPr>
          <w:rFonts w:ascii="Inter" w:hAnsi="Inter" w:cstheme="minorHAnsi"/>
        </w:rPr>
        <w:t>Customer Risk Factors</w:t>
      </w:r>
      <w:r w:rsidR="00FE6C36" w:rsidRPr="00012467">
        <w:rPr>
          <w:rFonts w:ascii="Inter" w:hAnsi="Inter" w:cstheme="minorHAnsi"/>
        </w:rPr>
        <w:t xml:space="preserve"> (</w:t>
      </w:r>
      <w:r w:rsidR="00AF7125" w:rsidRPr="00012467">
        <w:rPr>
          <w:rFonts w:ascii="Inter" w:hAnsi="Inter" w:cstheme="minorHAnsi"/>
        </w:rPr>
        <w:t>R</w:t>
      </w:r>
      <w:r w:rsidR="00FE6C36" w:rsidRPr="00012467">
        <w:rPr>
          <w:rFonts w:ascii="Inter" w:hAnsi="Inter" w:cstheme="minorHAnsi"/>
        </w:rPr>
        <w:t>.33(6)(a)</w:t>
      </w:r>
    </w:p>
    <w:p w14:paraId="05CD677D" w14:textId="2FB649D6" w:rsidR="003F103F" w:rsidRPr="00012467" w:rsidRDefault="003F103F" w:rsidP="004A06CE">
      <w:pPr>
        <w:pStyle w:val="NoSpacing"/>
        <w:numPr>
          <w:ilvl w:val="0"/>
          <w:numId w:val="13"/>
        </w:numPr>
        <w:rPr>
          <w:rFonts w:ascii="Inter" w:hAnsi="Inter" w:cstheme="minorHAnsi"/>
        </w:rPr>
      </w:pPr>
      <w:r w:rsidRPr="00012467">
        <w:rPr>
          <w:rFonts w:ascii="Inter" w:hAnsi="Inter" w:cstheme="minorHAnsi"/>
        </w:rPr>
        <w:t xml:space="preserve">Product, service, </w:t>
      </w:r>
      <w:r w:rsidR="00AF7125" w:rsidRPr="00012467">
        <w:rPr>
          <w:rFonts w:ascii="Inter" w:hAnsi="Inter" w:cstheme="minorHAnsi"/>
        </w:rPr>
        <w:t>transaction,</w:t>
      </w:r>
      <w:r w:rsidRPr="00012467">
        <w:rPr>
          <w:rFonts w:ascii="Inter" w:hAnsi="Inter" w:cstheme="minorHAnsi"/>
        </w:rPr>
        <w:t xml:space="preserve"> or delivery channel risk factors</w:t>
      </w:r>
      <w:r w:rsidR="00FE6C36" w:rsidRPr="00012467">
        <w:rPr>
          <w:rFonts w:ascii="Inter" w:hAnsi="Inter" w:cstheme="minorHAnsi"/>
        </w:rPr>
        <w:t xml:space="preserve"> (</w:t>
      </w:r>
      <w:r w:rsidR="00AF7125" w:rsidRPr="00012467">
        <w:rPr>
          <w:rFonts w:ascii="Inter" w:hAnsi="Inter" w:cstheme="minorHAnsi"/>
        </w:rPr>
        <w:t>R</w:t>
      </w:r>
      <w:r w:rsidR="00FE6C36" w:rsidRPr="00012467">
        <w:rPr>
          <w:rFonts w:ascii="Inter" w:hAnsi="Inter" w:cstheme="minorHAnsi"/>
        </w:rPr>
        <w:t>.33(6)(b)</w:t>
      </w:r>
    </w:p>
    <w:p w14:paraId="7B2F0A71" w14:textId="41A310DD" w:rsidR="003F103F" w:rsidRPr="00012467" w:rsidRDefault="003F103F" w:rsidP="004A06CE">
      <w:pPr>
        <w:pStyle w:val="NoSpacing"/>
        <w:numPr>
          <w:ilvl w:val="0"/>
          <w:numId w:val="13"/>
        </w:numPr>
        <w:rPr>
          <w:rFonts w:ascii="Inter" w:hAnsi="Inter" w:cstheme="minorHAnsi"/>
        </w:rPr>
      </w:pPr>
      <w:r w:rsidRPr="00012467">
        <w:rPr>
          <w:rFonts w:ascii="Inter" w:hAnsi="Inter" w:cstheme="minorHAnsi"/>
        </w:rPr>
        <w:t>Geographic risk factors</w:t>
      </w:r>
      <w:r w:rsidR="00FE6C36" w:rsidRPr="00012467">
        <w:rPr>
          <w:rFonts w:ascii="Inter" w:hAnsi="Inter" w:cstheme="minorHAnsi"/>
        </w:rPr>
        <w:t xml:space="preserve"> (</w:t>
      </w:r>
      <w:r w:rsidR="00AF7125" w:rsidRPr="00012467">
        <w:rPr>
          <w:rFonts w:ascii="Inter" w:hAnsi="Inter" w:cstheme="minorHAnsi"/>
        </w:rPr>
        <w:t>R</w:t>
      </w:r>
      <w:r w:rsidR="00FE6C36" w:rsidRPr="00012467">
        <w:rPr>
          <w:rFonts w:ascii="Inter" w:hAnsi="Inter" w:cstheme="minorHAnsi"/>
        </w:rPr>
        <w:t>.33(6)(c)</w:t>
      </w:r>
    </w:p>
    <w:p w14:paraId="669621C2" w14:textId="77777777" w:rsidR="00362BCF" w:rsidRPr="00012467" w:rsidRDefault="00362BCF" w:rsidP="00FC0917">
      <w:pPr>
        <w:pStyle w:val="NoSpacing"/>
        <w:rPr>
          <w:rFonts w:ascii="Inter" w:hAnsi="Inter" w:cstheme="minorHAnsi"/>
        </w:rPr>
      </w:pPr>
    </w:p>
    <w:p w14:paraId="32E6BF21" w14:textId="02124F27" w:rsidR="00FC0917" w:rsidRPr="00012467" w:rsidRDefault="00FC0917" w:rsidP="00FC0917">
      <w:pPr>
        <w:pStyle w:val="NoSpacing"/>
        <w:rPr>
          <w:rFonts w:ascii="Inter" w:hAnsi="Inter" w:cstheme="minorHAnsi"/>
        </w:rPr>
      </w:pPr>
      <w:r w:rsidRPr="00012467">
        <w:rPr>
          <w:rFonts w:ascii="Inter" w:hAnsi="Inter" w:cstheme="minorHAnsi"/>
        </w:rPr>
        <w:t>Depending on the requirements of the case, the EDD measures required may include, among other things:</w:t>
      </w:r>
    </w:p>
    <w:p w14:paraId="593F2443" w14:textId="77777777" w:rsidR="00FC0917" w:rsidRPr="00012467" w:rsidRDefault="00FC0917" w:rsidP="00FC0917">
      <w:pPr>
        <w:pStyle w:val="NoSpacing"/>
        <w:rPr>
          <w:rFonts w:ascii="Inter" w:hAnsi="Inter" w:cstheme="minorHAnsi"/>
        </w:rPr>
      </w:pPr>
    </w:p>
    <w:p w14:paraId="665EFEEC" w14:textId="24B576E9" w:rsidR="00FC0917" w:rsidRPr="00012467" w:rsidRDefault="00FC0917" w:rsidP="004A06CE">
      <w:pPr>
        <w:pStyle w:val="NoSpacing"/>
        <w:numPr>
          <w:ilvl w:val="0"/>
          <w:numId w:val="23"/>
        </w:numPr>
        <w:rPr>
          <w:rFonts w:ascii="Inter" w:hAnsi="Inter" w:cstheme="minorHAnsi"/>
        </w:rPr>
      </w:pPr>
      <w:r w:rsidRPr="00012467">
        <w:rPr>
          <w:rFonts w:ascii="Inter" w:hAnsi="Inter" w:cstheme="minorHAnsi"/>
        </w:rPr>
        <w:t>Seeking additional independent, reliable sources to verify information provided or made available to the relevant person</w:t>
      </w:r>
    </w:p>
    <w:p w14:paraId="656682BE" w14:textId="1695791B" w:rsidR="00FC0917" w:rsidRPr="00012467" w:rsidRDefault="00FC0917" w:rsidP="004A06CE">
      <w:pPr>
        <w:pStyle w:val="NoSpacing"/>
        <w:numPr>
          <w:ilvl w:val="0"/>
          <w:numId w:val="23"/>
        </w:numPr>
        <w:rPr>
          <w:rFonts w:ascii="Inter" w:hAnsi="Inter" w:cstheme="minorHAnsi"/>
        </w:rPr>
      </w:pPr>
      <w:r w:rsidRPr="00012467">
        <w:rPr>
          <w:rFonts w:ascii="Inter" w:hAnsi="Inter" w:cstheme="minorHAnsi"/>
        </w:rPr>
        <w:t xml:space="preserve">Taking additional measures to understand background, </w:t>
      </w:r>
      <w:r w:rsidR="00AF7125" w:rsidRPr="00012467">
        <w:rPr>
          <w:rFonts w:ascii="Inter" w:hAnsi="Inter" w:cstheme="minorHAnsi"/>
        </w:rPr>
        <w:t>ownership,</w:t>
      </w:r>
      <w:r w:rsidRPr="00012467">
        <w:rPr>
          <w:rFonts w:ascii="Inter" w:hAnsi="Inter" w:cstheme="minorHAnsi"/>
        </w:rPr>
        <w:t xml:space="preserve"> and financial situation of the </w:t>
      </w:r>
      <w:r w:rsidR="00916CC6" w:rsidRPr="00012467">
        <w:rPr>
          <w:rFonts w:ascii="Inter" w:hAnsi="Inter" w:cstheme="minorHAnsi"/>
        </w:rPr>
        <w:t>client</w:t>
      </w:r>
      <w:r w:rsidR="00540A55" w:rsidRPr="00012467">
        <w:rPr>
          <w:rFonts w:ascii="Inter" w:hAnsi="Inter" w:cstheme="minorHAnsi"/>
        </w:rPr>
        <w:t xml:space="preserve"> (this includes both SoF and SoW)</w:t>
      </w:r>
      <w:r w:rsidRPr="00012467">
        <w:rPr>
          <w:rFonts w:ascii="Inter" w:hAnsi="Inter" w:cstheme="minorHAnsi"/>
        </w:rPr>
        <w:t>, and other parties to the transaction</w:t>
      </w:r>
    </w:p>
    <w:p w14:paraId="28B29927" w14:textId="2A0498BA" w:rsidR="00FC0917" w:rsidRPr="00012467" w:rsidRDefault="00FC0917" w:rsidP="004A06CE">
      <w:pPr>
        <w:pStyle w:val="NoSpacing"/>
        <w:numPr>
          <w:ilvl w:val="0"/>
          <w:numId w:val="30"/>
        </w:numPr>
        <w:rPr>
          <w:rFonts w:ascii="Inter" w:hAnsi="Inter" w:cstheme="minorHAnsi"/>
        </w:rPr>
      </w:pPr>
      <w:r w:rsidRPr="00012467">
        <w:rPr>
          <w:rFonts w:ascii="Inter" w:hAnsi="Inter" w:cstheme="minorHAnsi"/>
        </w:rPr>
        <w:t>Taking further steps to be satisfied that the transaction is consistent with the purpose and intended nature of the business relationship</w:t>
      </w:r>
    </w:p>
    <w:p w14:paraId="772E184F" w14:textId="5C688D2F" w:rsidR="00FC0917" w:rsidRPr="00012467" w:rsidRDefault="00FC0917" w:rsidP="004A06CE">
      <w:pPr>
        <w:pStyle w:val="ListParagraph"/>
        <w:numPr>
          <w:ilvl w:val="0"/>
          <w:numId w:val="30"/>
        </w:numPr>
        <w:rPr>
          <w:rFonts w:ascii="Inter" w:hAnsi="Inter"/>
        </w:rPr>
      </w:pPr>
      <w:r w:rsidRPr="00012467">
        <w:rPr>
          <w:rFonts w:ascii="Inter" w:hAnsi="Inter"/>
        </w:rPr>
        <w:t xml:space="preserve">Increasing the monitoring of the business relationship, including greater scrutiny of </w:t>
      </w:r>
      <w:r w:rsidR="00C66AE1" w:rsidRPr="00012467">
        <w:rPr>
          <w:rFonts w:ascii="Inter" w:hAnsi="Inter"/>
        </w:rPr>
        <w:t>t</w:t>
      </w:r>
      <w:r w:rsidRPr="00012467">
        <w:rPr>
          <w:rFonts w:ascii="Inter" w:hAnsi="Inter"/>
        </w:rPr>
        <w:t>ransactions</w:t>
      </w:r>
    </w:p>
    <w:p w14:paraId="31FD2DA6" w14:textId="61B507CE" w:rsidR="00E26FFB" w:rsidRPr="00012467" w:rsidRDefault="00E26FFB" w:rsidP="004A06CE">
      <w:pPr>
        <w:pStyle w:val="ListParagraph"/>
        <w:numPr>
          <w:ilvl w:val="0"/>
          <w:numId w:val="30"/>
        </w:numPr>
        <w:rPr>
          <w:rFonts w:ascii="Inter" w:hAnsi="Inter"/>
        </w:rPr>
      </w:pPr>
      <w:r w:rsidRPr="00012467">
        <w:rPr>
          <w:rFonts w:ascii="Inter" w:hAnsi="Inter"/>
        </w:rPr>
        <w:t>Obtaining the approval of senior management/MLRO for establishing or continuing the business relationship</w:t>
      </w:r>
    </w:p>
    <w:p w14:paraId="78F952F5" w14:textId="7004394B" w:rsidR="00E26FFB" w:rsidRPr="00012467" w:rsidRDefault="00E26FFB" w:rsidP="004A06CE">
      <w:pPr>
        <w:pStyle w:val="ListParagraph"/>
        <w:numPr>
          <w:ilvl w:val="0"/>
          <w:numId w:val="30"/>
        </w:numPr>
        <w:rPr>
          <w:rFonts w:ascii="Inter" w:hAnsi="Inter"/>
        </w:rPr>
      </w:pPr>
      <w:r w:rsidRPr="00012467">
        <w:rPr>
          <w:rFonts w:ascii="Inter" w:hAnsi="Inter"/>
        </w:rPr>
        <w:t>Conducting enhanced monitoring of the client relationship by increasing the number and timing CDD applied</w:t>
      </w:r>
    </w:p>
    <w:p w14:paraId="6D16E51C" w14:textId="50E1CE1F" w:rsidR="00E26FFB" w:rsidRPr="00012467" w:rsidRDefault="00E26FFB" w:rsidP="004A06CE">
      <w:pPr>
        <w:pStyle w:val="ListParagraph"/>
        <w:numPr>
          <w:ilvl w:val="0"/>
          <w:numId w:val="30"/>
        </w:numPr>
        <w:rPr>
          <w:rFonts w:ascii="Inter" w:hAnsi="Inter"/>
        </w:rPr>
      </w:pPr>
      <w:r w:rsidRPr="00012467">
        <w:rPr>
          <w:rFonts w:ascii="Inter" w:hAnsi="Inter"/>
        </w:rPr>
        <w:t>Examining beneficial owners with less than 25% ownership if you have concerns regarding the ownership structure or feel that the ownership structure is a pertinent risk factor, to fully understand control and ownership interests in the client.</w:t>
      </w:r>
    </w:p>
    <w:p w14:paraId="1E69BE9A" w14:textId="77777777" w:rsidR="00493E02" w:rsidRPr="00012467" w:rsidRDefault="00493E02" w:rsidP="00F65226">
      <w:pPr>
        <w:pStyle w:val="Heading3"/>
        <w:spacing w:before="0" w:line="240" w:lineRule="auto"/>
        <w:rPr>
          <w:rFonts w:ascii="Inter" w:hAnsi="Inter" w:cstheme="minorHAnsi"/>
        </w:rPr>
      </w:pPr>
    </w:p>
    <w:p w14:paraId="2BB8E1F6" w14:textId="39C1448F" w:rsidR="009F5399" w:rsidRPr="00012467" w:rsidRDefault="00180C49" w:rsidP="00F65226">
      <w:pPr>
        <w:pStyle w:val="Heading3"/>
        <w:spacing w:before="0" w:line="240" w:lineRule="auto"/>
        <w:rPr>
          <w:rFonts w:ascii="Inter" w:hAnsi="Inter"/>
          <w:bCs/>
          <w:sz w:val="18"/>
          <w:szCs w:val="18"/>
          <w:u w:val="single"/>
        </w:rPr>
      </w:pPr>
      <w:bookmarkStart w:id="16" w:name="_Toc126840568"/>
      <w:bookmarkStart w:id="17" w:name="_Hlk104987496"/>
      <w:r w:rsidRPr="00012467">
        <w:rPr>
          <w:rFonts w:ascii="Inter" w:hAnsi="Inter"/>
          <w:bCs/>
          <w:u w:val="single"/>
        </w:rPr>
        <w:t xml:space="preserve">Enhanced </w:t>
      </w:r>
      <w:r w:rsidR="009F5399" w:rsidRPr="00012467">
        <w:rPr>
          <w:rFonts w:ascii="Inter" w:hAnsi="Inter"/>
          <w:bCs/>
          <w:u w:val="single"/>
        </w:rPr>
        <w:t>Ongoing Monitoring</w:t>
      </w:r>
      <w:bookmarkEnd w:id="16"/>
      <w:r w:rsidR="000A02AB" w:rsidRPr="00012467">
        <w:rPr>
          <w:rFonts w:ascii="Inter" w:hAnsi="Inter"/>
          <w:bCs/>
          <w:u w:val="single"/>
        </w:rPr>
        <w:br/>
      </w:r>
    </w:p>
    <w:p w14:paraId="39415046" w14:textId="7D6893EE" w:rsidR="009F5399" w:rsidRPr="00012467" w:rsidRDefault="009F5399" w:rsidP="009F5399">
      <w:pPr>
        <w:pStyle w:val="NoSpacing"/>
        <w:rPr>
          <w:rFonts w:ascii="Inter" w:hAnsi="Inter"/>
          <w:b/>
          <w:bCs/>
        </w:rPr>
      </w:pPr>
      <w:r w:rsidRPr="00012467">
        <w:rPr>
          <w:rFonts w:ascii="Inter" w:hAnsi="Inter"/>
          <w:b/>
          <w:bCs/>
        </w:rPr>
        <w:t>LSAG guidance 6.18.4</w:t>
      </w:r>
    </w:p>
    <w:p w14:paraId="30001CFB" w14:textId="77777777" w:rsidR="009F5399" w:rsidRPr="00012467" w:rsidRDefault="009F5399" w:rsidP="009F5399">
      <w:pPr>
        <w:pStyle w:val="NoSpacing"/>
        <w:rPr>
          <w:rFonts w:ascii="Inter" w:hAnsi="Inter"/>
        </w:rPr>
      </w:pPr>
    </w:p>
    <w:p w14:paraId="088E0C3E" w14:textId="77777777" w:rsidR="009F5399" w:rsidRPr="00012467" w:rsidRDefault="009F5399" w:rsidP="009F5399">
      <w:pPr>
        <w:pStyle w:val="NoSpacing"/>
        <w:rPr>
          <w:rFonts w:ascii="Inter" w:hAnsi="Inter"/>
        </w:rPr>
      </w:pPr>
      <w:r w:rsidRPr="00012467">
        <w:rPr>
          <w:rFonts w:ascii="Inter" w:hAnsi="Inter"/>
        </w:rPr>
        <w:t xml:space="preserve">Enhanced ongoing monitoring is automatically required whenever EDD is applied. One way to achieve this is to ensure that transactions are in line with the CDD information held on the client, as well as information contained in the client and matter risk assessments. </w:t>
      </w:r>
    </w:p>
    <w:p w14:paraId="3DB1BFBC" w14:textId="77777777" w:rsidR="009F5399" w:rsidRPr="00012467" w:rsidRDefault="009F5399" w:rsidP="009F5399">
      <w:pPr>
        <w:pStyle w:val="NoSpacing"/>
        <w:rPr>
          <w:rFonts w:ascii="Inter" w:hAnsi="Inter"/>
        </w:rPr>
      </w:pPr>
    </w:p>
    <w:p w14:paraId="643BC18F" w14:textId="77777777" w:rsidR="009F5399" w:rsidRPr="00012467" w:rsidRDefault="009F5399" w:rsidP="009F5399">
      <w:pPr>
        <w:pStyle w:val="NoSpacing"/>
        <w:rPr>
          <w:rFonts w:ascii="Inter" w:hAnsi="Inter"/>
        </w:rPr>
      </w:pPr>
      <w:r w:rsidRPr="00012467">
        <w:rPr>
          <w:rFonts w:ascii="Inter" w:hAnsi="Inter"/>
        </w:rPr>
        <w:lastRenderedPageBreak/>
        <w:t>Ways to apply ongoing monitoring may include:</w:t>
      </w:r>
    </w:p>
    <w:p w14:paraId="38DC74E9" w14:textId="77777777" w:rsidR="007F4855" w:rsidRPr="00012467" w:rsidRDefault="007F4855" w:rsidP="009F5399">
      <w:pPr>
        <w:pStyle w:val="NoSpacing"/>
        <w:rPr>
          <w:rFonts w:ascii="Inter" w:hAnsi="Inter"/>
        </w:rPr>
      </w:pPr>
    </w:p>
    <w:p w14:paraId="18675229" w14:textId="41B4596D" w:rsidR="007F4855" w:rsidRPr="00012467" w:rsidRDefault="007F4855" w:rsidP="004A06CE">
      <w:pPr>
        <w:pStyle w:val="NoSpacing"/>
        <w:numPr>
          <w:ilvl w:val="0"/>
          <w:numId w:val="28"/>
        </w:numPr>
        <w:rPr>
          <w:rFonts w:ascii="Inter" w:hAnsi="Inter"/>
        </w:rPr>
      </w:pPr>
      <w:r w:rsidRPr="00012467">
        <w:rPr>
          <w:rFonts w:ascii="Inter" w:hAnsi="Inter"/>
        </w:rPr>
        <w:t>Requiring a greater level of information and explanation from the client when activity diverts from that addressed in their client risk assessment</w:t>
      </w:r>
    </w:p>
    <w:p w14:paraId="4EC7B52D" w14:textId="52AE8634" w:rsidR="007F4855" w:rsidRPr="00012467" w:rsidRDefault="007F4855" w:rsidP="004A06CE">
      <w:pPr>
        <w:pStyle w:val="NoSpacing"/>
        <w:numPr>
          <w:ilvl w:val="0"/>
          <w:numId w:val="28"/>
        </w:numPr>
        <w:rPr>
          <w:rFonts w:ascii="Inter" w:hAnsi="Inter"/>
        </w:rPr>
      </w:pPr>
      <w:r w:rsidRPr="00012467">
        <w:rPr>
          <w:rFonts w:ascii="Inter" w:hAnsi="Inter"/>
        </w:rPr>
        <w:t>Greater frequency of checks on transactions, particularly SoF</w:t>
      </w:r>
    </w:p>
    <w:p w14:paraId="06198714" w14:textId="7DE8D8E3" w:rsidR="009F5399" w:rsidRPr="00012467" w:rsidRDefault="007F4855" w:rsidP="004A06CE">
      <w:pPr>
        <w:pStyle w:val="NoSpacing"/>
        <w:numPr>
          <w:ilvl w:val="0"/>
          <w:numId w:val="28"/>
        </w:numPr>
        <w:rPr>
          <w:rFonts w:ascii="Inter" w:hAnsi="Inter"/>
        </w:rPr>
      </w:pPr>
      <w:r w:rsidRPr="00012467">
        <w:rPr>
          <w:rFonts w:ascii="Inter" w:hAnsi="Inter"/>
        </w:rPr>
        <w:t>Undertaking more frequent due diligence checks on your client.</w:t>
      </w:r>
    </w:p>
    <w:p w14:paraId="68D578FE" w14:textId="4931331C" w:rsidR="00180C49" w:rsidRPr="00012467" w:rsidRDefault="00180C49" w:rsidP="00180C49">
      <w:pPr>
        <w:pStyle w:val="NoSpacing"/>
        <w:rPr>
          <w:rFonts w:ascii="Inter" w:hAnsi="Inter"/>
        </w:rPr>
      </w:pPr>
    </w:p>
    <w:p w14:paraId="69C651F2" w14:textId="39C20991" w:rsidR="00D23C4C" w:rsidRPr="00012467" w:rsidRDefault="00180C49" w:rsidP="000A02AB">
      <w:pPr>
        <w:pStyle w:val="NoSpacing"/>
        <w:rPr>
          <w:rFonts w:ascii="Inter" w:hAnsi="Inter"/>
        </w:rPr>
      </w:pPr>
      <w:r w:rsidRPr="00012467">
        <w:rPr>
          <w:rFonts w:ascii="Inter" w:hAnsi="Inter"/>
        </w:rPr>
        <w:t>Further information on ongoing monitoring can be found within the ongoing monitoring section below.</w:t>
      </w:r>
      <w:bookmarkEnd w:id="17"/>
      <w:r w:rsidR="000A02AB" w:rsidRPr="00012467">
        <w:rPr>
          <w:rFonts w:ascii="Inter" w:hAnsi="Inter"/>
        </w:rPr>
        <w:br/>
      </w:r>
    </w:p>
    <w:p w14:paraId="573DCFFB" w14:textId="63F5D5EB" w:rsidR="00493E02" w:rsidRPr="00012467" w:rsidRDefault="00C224A8" w:rsidP="00F65226">
      <w:pPr>
        <w:pStyle w:val="Heading3"/>
        <w:spacing w:before="0" w:line="240" w:lineRule="auto"/>
        <w:rPr>
          <w:rFonts w:ascii="Inter" w:hAnsi="Inter"/>
          <w:bCs/>
          <w:sz w:val="18"/>
          <w:szCs w:val="18"/>
          <w:u w:val="single"/>
        </w:rPr>
      </w:pPr>
      <w:bookmarkStart w:id="18" w:name="_Toc126840569"/>
      <w:r w:rsidRPr="00012467">
        <w:rPr>
          <w:rFonts w:ascii="Inter" w:hAnsi="Inter"/>
          <w:bCs/>
          <w:u w:val="single"/>
        </w:rPr>
        <w:t xml:space="preserve">EDD Measures - </w:t>
      </w:r>
      <w:r w:rsidR="00493E02" w:rsidRPr="00012467">
        <w:rPr>
          <w:rFonts w:ascii="Inter" w:hAnsi="Inter"/>
          <w:bCs/>
          <w:u w:val="single"/>
        </w:rPr>
        <w:t>Understanding a clients Source of Wealth (SoW)</w:t>
      </w:r>
      <w:bookmarkEnd w:id="18"/>
      <w:r w:rsidR="000A02AB" w:rsidRPr="00012467">
        <w:rPr>
          <w:rFonts w:ascii="Inter" w:hAnsi="Inter"/>
          <w:bCs/>
          <w:u w:val="single"/>
        </w:rPr>
        <w:br/>
      </w:r>
    </w:p>
    <w:p w14:paraId="582D822E" w14:textId="2FEEBC3C" w:rsidR="00FC1F64" w:rsidRPr="00012467" w:rsidRDefault="00FC1F64" w:rsidP="00D949CD">
      <w:pPr>
        <w:pStyle w:val="NoSpacing"/>
        <w:rPr>
          <w:rFonts w:ascii="Inter" w:hAnsi="Inter"/>
          <w:b/>
          <w:bCs/>
        </w:rPr>
      </w:pPr>
      <w:r w:rsidRPr="00012467">
        <w:rPr>
          <w:rFonts w:ascii="Inter" w:hAnsi="Inter"/>
          <w:b/>
          <w:bCs/>
        </w:rPr>
        <w:t>LSAG 6.18.3</w:t>
      </w:r>
    </w:p>
    <w:p w14:paraId="74B80F7A" w14:textId="5436B8AD" w:rsidR="004C091B" w:rsidRPr="00012467" w:rsidRDefault="004C091B" w:rsidP="00D949CD">
      <w:pPr>
        <w:pStyle w:val="NoSpacing"/>
        <w:rPr>
          <w:rFonts w:ascii="Inter" w:hAnsi="Inter"/>
        </w:rPr>
      </w:pPr>
    </w:p>
    <w:p w14:paraId="05C8DF1D" w14:textId="40AC3364" w:rsidR="004C091B" w:rsidRPr="00245847" w:rsidRDefault="004C091B" w:rsidP="004C091B">
      <w:pPr>
        <w:pStyle w:val="NoSpacing"/>
        <w:rPr>
          <w:rFonts w:ascii="Inter" w:hAnsi="Inter"/>
          <w:color w:val="7030A0"/>
        </w:rPr>
      </w:pPr>
      <w:r w:rsidRPr="00245847">
        <w:rPr>
          <w:rFonts w:ascii="Inter" w:hAnsi="Inter"/>
          <w:color w:val="7030A0"/>
        </w:rPr>
        <w:t>This section should detail the practices procedures in relation to understanding and evidencing Source of Wealth</w:t>
      </w:r>
      <w:r w:rsidR="00CE4922" w:rsidRPr="00245847">
        <w:rPr>
          <w:rFonts w:ascii="Inter" w:hAnsi="Inter"/>
          <w:color w:val="7030A0"/>
        </w:rPr>
        <w:t xml:space="preserve"> (in addition to Source of Funds)</w:t>
      </w:r>
      <w:r w:rsidR="00C224A8" w:rsidRPr="00245847">
        <w:rPr>
          <w:rFonts w:ascii="Inter" w:hAnsi="Inter"/>
          <w:color w:val="7030A0"/>
        </w:rPr>
        <w:t xml:space="preserve"> in EDD situations</w:t>
      </w:r>
      <w:r w:rsidRPr="00245847">
        <w:rPr>
          <w:rFonts w:ascii="Inter" w:hAnsi="Inter"/>
          <w:color w:val="7030A0"/>
        </w:rPr>
        <w:t xml:space="preserve"> – this should be based on the information below.</w:t>
      </w:r>
    </w:p>
    <w:p w14:paraId="405732EE" w14:textId="6C499E30" w:rsidR="004C091B" w:rsidRPr="00245847" w:rsidRDefault="004C091B" w:rsidP="004C091B">
      <w:pPr>
        <w:pStyle w:val="NoSpacing"/>
        <w:rPr>
          <w:rFonts w:ascii="Inter" w:hAnsi="Inter"/>
          <w:color w:val="7030A0"/>
        </w:rPr>
      </w:pPr>
    </w:p>
    <w:p w14:paraId="5F468D73" w14:textId="6E03FAA0" w:rsidR="004C091B" w:rsidRPr="00245847" w:rsidRDefault="004C091B" w:rsidP="004C091B">
      <w:pPr>
        <w:pStyle w:val="NoSpacing"/>
        <w:rPr>
          <w:rFonts w:ascii="Inter" w:hAnsi="Inter" w:cstheme="minorHAnsi"/>
          <w:color w:val="7030A0"/>
        </w:rPr>
      </w:pPr>
      <w:r w:rsidRPr="00245847">
        <w:rPr>
          <w:rFonts w:ascii="Inter" w:hAnsi="Inter"/>
          <w:color w:val="7030A0"/>
        </w:rPr>
        <w:t xml:space="preserve">The Law Society of Scotland has also published a Frequently asked Questions document on the </w:t>
      </w:r>
      <w:r w:rsidRPr="00245847">
        <w:rPr>
          <w:rFonts w:ascii="Inter" w:hAnsi="Inter" w:cstheme="minorHAnsi"/>
          <w:color w:val="7030A0"/>
        </w:rPr>
        <w:t>difference between Source of Funds and Source of Wealth which can be found here:</w:t>
      </w:r>
    </w:p>
    <w:p w14:paraId="29B2BD7E" w14:textId="324AE0C6" w:rsidR="004C091B" w:rsidRPr="00012467" w:rsidRDefault="00314C16" w:rsidP="004C091B">
      <w:pPr>
        <w:pStyle w:val="NoSpacing"/>
        <w:rPr>
          <w:rFonts w:ascii="Inter" w:hAnsi="Inter" w:cstheme="minorHAnsi"/>
          <w:i/>
          <w:iCs/>
          <w:color w:val="7030A0"/>
        </w:rPr>
      </w:pPr>
      <w:hyperlink r:id="rId19" w:history="1">
        <w:r w:rsidR="004C091B" w:rsidRPr="00012467">
          <w:rPr>
            <w:rStyle w:val="Hyperlink"/>
            <w:rFonts w:ascii="Inter" w:hAnsi="Inter" w:cstheme="minorHAnsi"/>
          </w:rPr>
          <w:t>AML FAQs | Law Society of Scotland (lawscot.org.uk)</w:t>
        </w:r>
      </w:hyperlink>
    </w:p>
    <w:p w14:paraId="5379F04A" w14:textId="77777777" w:rsidR="00493E02" w:rsidRPr="00012467" w:rsidRDefault="00493E02" w:rsidP="00D949CD">
      <w:pPr>
        <w:pStyle w:val="NoSpacing"/>
        <w:rPr>
          <w:rFonts w:ascii="Inter" w:hAnsi="Inter"/>
        </w:rPr>
      </w:pPr>
    </w:p>
    <w:p w14:paraId="68BA472B" w14:textId="0A8586F1" w:rsidR="00493E02" w:rsidRPr="00012467" w:rsidRDefault="00493E02" w:rsidP="00D949CD">
      <w:pPr>
        <w:pStyle w:val="NoSpacing"/>
        <w:rPr>
          <w:rFonts w:ascii="Inter" w:hAnsi="Inter"/>
        </w:rPr>
      </w:pPr>
      <w:r w:rsidRPr="00012467">
        <w:rPr>
          <w:rFonts w:ascii="Inter" w:hAnsi="Inter"/>
        </w:rPr>
        <w:t xml:space="preserve">An important additional EDD measure should include understanding the financial situation of your client. This means taking additional measures to understand the SoW as well as the SoF of </w:t>
      </w:r>
      <w:r w:rsidR="00E2268C" w:rsidRPr="00012467">
        <w:rPr>
          <w:rFonts w:ascii="Inter" w:hAnsi="Inter"/>
        </w:rPr>
        <w:t>our</w:t>
      </w:r>
      <w:r w:rsidRPr="00012467">
        <w:rPr>
          <w:rFonts w:ascii="Inter" w:hAnsi="Inter"/>
        </w:rPr>
        <w:t xml:space="preserve"> client. </w:t>
      </w:r>
    </w:p>
    <w:p w14:paraId="49BA52CD" w14:textId="30B03AA6" w:rsidR="007150B3" w:rsidRPr="00012467" w:rsidRDefault="007150B3" w:rsidP="00493E02">
      <w:pPr>
        <w:pStyle w:val="NoSpacing"/>
        <w:rPr>
          <w:rFonts w:ascii="Inter" w:hAnsi="Inter"/>
        </w:rPr>
      </w:pPr>
    </w:p>
    <w:p w14:paraId="73C6BE94" w14:textId="7FFA05DF" w:rsidR="007150B3" w:rsidRPr="00012467" w:rsidRDefault="007150B3" w:rsidP="007150B3">
      <w:pPr>
        <w:pStyle w:val="NoSpacing"/>
        <w:rPr>
          <w:rFonts w:ascii="Inter" w:hAnsi="Inter"/>
        </w:rPr>
      </w:pPr>
      <w:r w:rsidRPr="00012467">
        <w:rPr>
          <w:rFonts w:ascii="Inter" w:hAnsi="Inter"/>
        </w:rPr>
        <w:t>A question to ask yourself is: “why and how does the individual have the amount of overall assets they do – and how did they accumulate/generate these?”</w:t>
      </w:r>
      <w:r w:rsidRPr="00012467">
        <w:rPr>
          <w:rFonts w:ascii="Inter" w:hAnsi="Inter"/>
        </w:rPr>
        <w:cr/>
      </w:r>
    </w:p>
    <w:p w14:paraId="3D68E194" w14:textId="76F5E885" w:rsidR="00F27262" w:rsidRPr="000A34C4" w:rsidRDefault="00F27262" w:rsidP="007150B3">
      <w:pPr>
        <w:pStyle w:val="NoSpacing"/>
        <w:rPr>
          <w:rFonts w:ascii="Inter" w:eastAsiaTheme="majorEastAsia" w:hAnsi="Inter" w:cstheme="minorHAnsi"/>
          <w:color w:val="2F5496" w:themeColor="accent1" w:themeShade="BF"/>
          <w:sz w:val="26"/>
          <w:szCs w:val="26"/>
          <w:u w:val="single"/>
        </w:rPr>
      </w:pPr>
      <w:r w:rsidRPr="000A34C4">
        <w:rPr>
          <w:rFonts w:ascii="Inter" w:hAnsi="Inter"/>
          <w:color w:val="7030A0"/>
        </w:rPr>
        <w:t>Within your PCPs you should have a clear and documented approach to how your Practice deals with understanding your client’s SoW. This should be holistic in nature.</w:t>
      </w:r>
      <w:r w:rsidRPr="000A34C4">
        <w:rPr>
          <w:rFonts w:ascii="Inter" w:eastAsiaTheme="majorEastAsia" w:hAnsi="Inter" w:cstheme="minorHAnsi"/>
          <w:color w:val="2F5496" w:themeColor="accent1" w:themeShade="BF"/>
          <w:sz w:val="26"/>
          <w:szCs w:val="26"/>
          <w:u w:val="single"/>
        </w:rPr>
        <w:t xml:space="preserve"> </w:t>
      </w:r>
    </w:p>
    <w:p w14:paraId="4789E3B3" w14:textId="77777777" w:rsidR="00455092" w:rsidRPr="00012467" w:rsidRDefault="00455092" w:rsidP="00F65226">
      <w:pPr>
        <w:pStyle w:val="Heading2"/>
        <w:spacing w:before="0" w:line="240" w:lineRule="auto"/>
        <w:rPr>
          <w:rFonts w:ascii="Inter" w:hAnsi="Inter" w:cstheme="minorHAnsi"/>
          <w:bCs/>
          <w:u w:val="single"/>
        </w:rPr>
      </w:pPr>
    </w:p>
    <w:p w14:paraId="55A2E5EC" w14:textId="671DE5EB" w:rsidR="00DB7304" w:rsidRPr="00012467" w:rsidRDefault="00DB7304" w:rsidP="00F65226">
      <w:pPr>
        <w:pStyle w:val="Heading1"/>
        <w:spacing w:before="0" w:line="240" w:lineRule="auto"/>
        <w:rPr>
          <w:rFonts w:ascii="Inter" w:hAnsi="Inter" w:cstheme="minorHAnsi"/>
          <w:bCs/>
          <w:sz w:val="18"/>
          <w:szCs w:val="18"/>
          <w:u w:val="single"/>
        </w:rPr>
      </w:pPr>
      <w:bookmarkStart w:id="19" w:name="_Toc126840570"/>
      <w:r w:rsidRPr="00012467">
        <w:rPr>
          <w:rFonts w:ascii="Inter" w:hAnsi="Inter" w:cstheme="minorHAnsi"/>
          <w:bCs/>
          <w:u w:val="single"/>
        </w:rPr>
        <w:t>Politically Exposed Persons (PEP’s)</w:t>
      </w:r>
      <w:bookmarkEnd w:id="19"/>
      <w:r w:rsidR="00B37885" w:rsidRPr="00012467">
        <w:rPr>
          <w:rFonts w:ascii="Inter" w:hAnsi="Inter" w:cstheme="minorHAnsi"/>
          <w:bCs/>
          <w:u w:val="single"/>
        </w:rPr>
        <w:br/>
      </w:r>
    </w:p>
    <w:p w14:paraId="518D2503" w14:textId="3AAA7BA6" w:rsidR="00041B52" w:rsidRPr="00012467" w:rsidRDefault="00125DA1" w:rsidP="00F65226">
      <w:pPr>
        <w:spacing w:after="0" w:line="240" w:lineRule="auto"/>
        <w:rPr>
          <w:rFonts w:ascii="Inter" w:hAnsi="Inter" w:cstheme="minorHAnsi"/>
          <w:b/>
          <w:bCs/>
        </w:rPr>
      </w:pPr>
      <w:r w:rsidRPr="00012467">
        <w:rPr>
          <w:rFonts w:ascii="Inter" w:hAnsi="Inter" w:cstheme="minorHAnsi"/>
          <w:b/>
          <w:bCs/>
        </w:rPr>
        <w:t>LSAG guidance 6.19.3</w:t>
      </w:r>
    </w:p>
    <w:p w14:paraId="50E84770" w14:textId="77777777" w:rsidR="00F07395" w:rsidRPr="00012467" w:rsidRDefault="00F07395" w:rsidP="00F65226">
      <w:pPr>
        <w:spacing w:after="0" w:line="240" w:lineRule="auto"/>
        <w:rPr>
          <w:rFonts w:ascii="Inter" w:hAnsi="Inter" w:cstheme="minorHAnsi"/>
          <w:i/>
          <w:iCs/>
          <w:color w:val="7030A0"/>
        </w:rPr>
      </w:pPr>
    </w:p>
    <w:p w14:paraId="206A549F" w14:textId="65BAF8D1" w:rsidR="00105E45" w:rsidRPr="000A34C4" w:rsidRDefault="00105E45" w:rsidP="00F65226">
      <w:pPr>
        <w:spacing w:after="0" w:line="240" w:lineRule="auto"/>
        <w:rPr>
          <w:rFonts w:ascii="Inter" w:hAnsi="Inter" w:cstheme="minorHAnsi"/>
          <w:color w:val="7030A0"/>
        </w:rPr>
      </w:pPr>
      <w:r w:rsidRPr="000A34C4">
        <w:rPr>
          <w:rFonts w:ascii="Inter" w:hAnsi="Inter" w:cstheme="minorHAnsi"/>
          <w:color w:val="7030A0"/>
        </w:rPr>
        <w:t xml:space="preserve">Within this section you must detail your practices approach regarding PEPs. Should onboarding PEPS fall outside of your risk appetite, this should be clearly documented within your PCPs. </w:t>
      </w:r>
    </w:p>
    <w:p w14:paraId="54EFBA68" w14:textId="77777777" w:rsidR="00F07395" w:rsidRPr="00012467" w:rsidRDefault="00F07395" w:rsidP="00F65226">
      <w:pPr>
        <w:pStyle w:val="NoSpacing"/>
        <w:rPr>
          <w:rFonts w:ascii="Inter" w:hAnsi="Inter"/>
        </w:rPr>
      </w:pPr>
    </w:p>
    <w:p w14:paraId="676D772F" w14:textId="7A096189" w:rsidR="008676D2" w:rsidRPr="00012467" w:rsidRDefault="00125DA1" w:rsidP="00105E45">
      <w:pPr>
        <w:pStyle w:val="NoSpacing"/>
        <w:rPr>
          <w:rFonts w:ascii="Inter" w:hAnsi="Inter"/>
        </w:rPr>
      </w:pPr>
      <w:r w:rsidRPr="00012467">
        <w:rPr>
          <w:rFonts w:ascii="Inter" w:hAnsi="Inter"/>
        </w:rPr>
        <w:t xml:space="preserve">PEPs present risks as they have the opportunity to use their political position to enrich themselves through corrupt activities. </w:t>
      </w:r>
    </w:p>
    <w:p w14:paraId="38002F4A" w14:textId="77777777" w:rsidR="008676D2" w:rsidRPr="00012467" w:rsidRDefault="008676D2" w:rsidP="00105E45">
      <w:pPr>
        <w:pStyle w:val="NoSpacing"/>
        <w:rPr>
          <w:rFonts w:ascii="Inter" w:hAnsi="Inter"/>
        </w:rPr>
      </w:pPr>
    </w:p>
    <w:p w14:paraId="088300B0" w14:textId="3A9E1108" w:rsidR="00125DA1" w:rsidRPr="00012467" w:rsidRDefault="00125DA1" w:rsidP="00105E45">
      <w:pPr>
        <w:pStyle w:val="NoSpacing"/>
        <w:rPr>
          <w:rFonts w:ascii="Inter" w:hAnsi="Inter"/>
        </w:rPr>
      </w:pPr>
      <w:r w:rsidRPr="00012467">
        <w:rPr>
          <w:rFonts w:ascii="Inter" w:hAnsi="Inter"/>
        </w:rPr>
        <w:t>In order to treat PEPs in a risk-based</w:t>
      </w:r>
      <w:r w:rsidR="00C224A8" w:rsidRPr="00012467">
        <w:rPr>
          <w:rFonts w:ascii="Inter" w:hAnsi="Inter"/>
        </w:rPr>
        <w:t xml:space="preserve"> manner</w:t>
      </w:r>
      <w:r w:rsidRPr="00012467">
        <w:rPr>
          <w:rFonts w:ascii="Inter" w:hAnsi="Inter"/>
        </w:rPr>
        <w:t>, it is a precondition that we can correctly identify them.</w:t>
      </w:r>
    </w:p>
    <w:p w14:paraId="2C979EC7" w14:textId="4FB2FBA7" w:rsidR="008676D2" w:rsidRPr="00012467" w:rsidRDefault="008676D2" w:rsidP="00105E45">
      <w:pPr>
        <w:pStyle w:val="NoSpacing"/>
        <w:rPr>
          <w:rFonts w:ascii="Inter" w:hAnsi="Inter"/>
        </w:rPr>
      </w:pPr>
    </w:p>
    <w:p w14:paraId="206D1AD3" w14:textId="488EA3E0" w:rsidR="008676D2" w:rsidRPr="00012467" w:rsidRDefault="008676D2" w:rsidP="00105E45">
      <w:pPr>
        <w:pStyle w:val="NoSpacing"/>
        <w:rPr>
          <w:rFonts w:ascii="Inter" w:hAnsi="Inter"/>
        </w:rPr>
      </w:pPr>
      <w:r w:rsidRPr="00012467">
        <w:rPr>
          <w:rFonts w:ascii="Inter" w:hAnsi="Inter"/>
        </w:rPr>
        <w:t>EDD must be applied</w:t>
      </w:r>
      <w:r w:rsidR="00CE4922" w:rsidRPr="00012467">
        <w:rPr>
          <w:rFonts w:ascii="Inter" w:hAnsi="Inter"/>
        </w:rPr>
        <w:t xml:space="preserve"> and Senior Management approval given</w:t>
      </w:r>
      <w:r w:rsidR="009D4FE1" w:rsidRPr="00012467">
        <w:rPr>
          <w:rFonts w:ascii="Inter" w:hAnsi="Inter"/>
        </w:rPr>
        <w:t>.</w:t>
      </w:r>
      <w:r w:rsidRPr="00012467">
        <w:rPr>
          <w:rFonts w:ascii="Inter" w:hAnsi="Inter"/>
        </w:rPr>
        <w:t xml:space="preserve"> </w:t>
      </w:r>
      <w:r w:rsidRPr="00012467">
        <w:rPr>
          <w:rFonts w:ascii="Inter" w:hAnsi="Inter"/>
          <w:b/>
          <w:bCs/>
          <w:u w:val="single"/>
        </w:rPr>
        <w:t>This is not optional.</w:t>
      </w:r>
    </w:p>
    <w:p w14:paraId="0F65A791" w14:textId="7857E981" w:rsidR="00017BAE" w:rsidRPr="00012467" w:rsidRDefault="00017BAE" w:rsidP="00125DA1">
      <w:pPr>
        <w:pStyle w:val="NoSpacing"/>
        <w:rPr>
          <w:rFonts w:ascii="Inter" w:hAnsi="Inter" w:cstheme="minorHAnsi"/>
          <w:b/>
          <w:bCs/>
        </w:rPr>
      </w:pPr>
    </w:p>
    <w:p w14:paraId="5FA5F32C" w14:textId="77777777" w:rsidR="00B37885" w:rsidRPr="00012467" w:rsidRDefault="00B37885" w:rsidP="00125DA1">
      <w:pPr>
        <w:pStyle w:val="NoSpacing"/>
        <w:rPr>
          <w:rFonts w:ascii="Inter" w:hAnsi="Inter" w:cstheme="minorHAnsi"/>
          <w:b/>
          <w:bCs/>
        </w:rPr>
      </w:pPr>
    </w:p>
    <w:p w14:paraId="65C5507D" w14:textId="5D5B8428" w:rsidR="00125DA1" w:rsidRPr="00012467" w:rsidRDefault="00125DA1" w:rsidP="00C66AE1">
      <w:pPr>
        <w:pStyle w:val="Heading2"/>
        <w:rPr>
          <w:rFonts w:ascii="Inter" w:hAnsi="Inter" w:cstheme="majorHAnsi"/>
          <w:sz w:val="18"/>
          <w:szCs w:val="18"/>
          <w:u w:val="single"/>
        </w:rPr>
      </w:pPr>
      <w:bookmarkStart w:id="20" w:name="_Toc126840571"/>
      <w:r w:rsidRPr="00012467">
        <w:rPr>
          <w:rFonts w:ascii="Inter" w:hAnsi="Inter" w:cstheme="majorHAnsi"/>
          <w:sz w:val="24"/>
          <w:szCs w:val="24"/>
          <w:u w:val="single"/>
        </w:rPr>
        <w:lastRenderedPageBreak/>
        <w:t>Who is a PEP?</w:t>
      </w:r>
      <w:bookmarkEnd w:id="20"/>
      <w:r w:rsidR="00B37885" w:rsidRPr="00012467">
        <w:rPr>
          <w:rFonts w:ascii="Inter" w:hAnsi="Inter" w:cstheme="majorHAnsi"/>
          <w:sz w:val="24"/>
          <w:szCs w:val="24"/>
          <w:u w:val="single"/>
        </w:rPr>
        <w:br/>
      </w:r>
    </w:p>
    <w:p w14:paraId="1FACFCD3" w14:textId="3F6BF333" w:rsidR="00125DA1" w:rsidRPr="00012467" w:rsidRDefault="00E43DE2" w:rsidP="00125DA1">
      <w:pPr>
        <w:pStyle w:val="NoSpacing"/>
        <w:rPr>
          <w:rFonts w:ascii="Inter" w:hAnsi="Inter" w:cstheme="minorHAnsi"/>
          <w:b/>
          <w:bCs/>
        </w:rPr>
      </w:pPr>
      <w:r w:rsidRPr="00012467">
        <w:rPr>
          <w:rFonts w:ascii="Inter" w:hAnsi="Inter" w:cstheme="minorHAnsi"/>
          <w:b/>
          <w:bCs/>
        </w:rPr>
        <w:t>LSAG guidance 6.19.3.1</w:t>
      </w:r>
    </w:p>
    <w:p w14:paraId="2B5DCC90" w14:textId="77777777" w:rsidR="00E43DE2" w:rsidRPr="00012467" w:rsidRDefault="00E43DE2" w:rsidP="00125DA1">
      <w:pPr>
        <w:pStyle w:val="NoSpacing"/>
        <w:rPr>
          <w:rFonts w:ascii="Inter" w:hAnsi="Inter" w:cstheme="minorHAnsi"/>
          <w:b/>
          <w:bCs/>
        </w:rPr>
      </w:pPr>
    </w:p>
    <w:p w14:paraId="5F3AE4ED" w14:textId="10B4723E" w:rsidR="00125DA1" w:rsidRPr="00012467" w:rsidRDefault="00125DA1" w:rsidP="00125DA1">
      <w:pPr>
        <w:pStyle w:val="NoSpacing"/>
        <w:rPr>
          <w:rFonts w:ascii="Inter" w:hAnsi="Inter" w:cstheme="minorHAnsi"/>
        </w:rPr>
      </w:pPr>
      <w:r w:rsidRPr="00012467">
        <w:rPr>
          <w:rFonts w:ascii="Inter" w:hAnsi="Inter" w:cstheme="minorHAnsi"/>
        </w:rPr>
        <w:t>A PEP is a person who has been entrusted within the last year (or for a longer period if you consider it appropriate to address the risks in relation to that person) with one of the 93 following prominent public functions by a public institution, an international body, or a state, including the UK.</w:t>
      </w:r>
    </w:p>
    <w:p w14:paraId="758F6021" w14:textId="1867C741" w:rsidR="00125DA1" w:rsidRPr="00012467" w:rsidRDefault="00125DA1" w:rsidP="00125DA1">
      <w:pPr>
        <w:pStyle w:val="NoSpacing"/>
        <w:rPr>
          <w:rFonts w:ascii="Inter" w:hAnsi="Inter" w:cstheme="minorHAnsi"/>
        </w:rPr>
      </w:pPr>
    </w:p>
    <w:p w14:paraId="2E5526D9" w14:textId="5E235D75" w:rsidR="00125DA1" w:rsidRPr="00012467" w:rsidRDefault="00125DA1" w:rsidP="00125DA1">
      <w:pPr>
        <w:pStyle w:val="NoSpacing"/>
        <w:rPr>
          <w:rFonts w:ascii="Inter" w:hAnsi="Inter" w:cstheme="minorHAnsi"/>
          <w:b/>
          <w:bCs/>
        </w:rPr>
      </w:pPr>
      <w:r w:rsidRPr="00012467">
        <w:rPr>
          <w:rFonts w:ascii="Inter" w:hAnsi="Inter" w:cstheme="minorHAnsi"/>
          <w:b/>
          <w:bCs/>
        </w:rPr>
        <w:t>Listing of PEP roles R</w:t>
      </w:r>
      <w:r w:rsidR="00AF7125" w:rsidRPr="00012467">
        <w:rPr>
          <w:rFonts w:ascii="Inter" w:hAnsi="Inter" w:cstheme="minorHAnsi"/>
          <w:b/>
          <w:bCs/>
        </w:rPr>
        <w:t>.</w:t>
      </w:r>
      <w:r w:rsidRPr="00012467">
        <w:rPr>
          <w:rFonts w:ascii="Inter" w:hAnsi="Inter" w:cstheme="minorHAnsi"/>
          <w:b/>
          <w:bCs/>
        </w:rPr>
        <w:t>35(14)</w:t>
      </w:r>
      <w:r w:rsidR="00AF7125" w:rsidRPr="00012467">
        <w:rPr>
          <w:rFonts w:ascii="Inter" w:hAnsi="Inter" w:cstheme="minorHAnsi"/>
          <w:b/>
          <w:bCs/>
        </w:rPr>
        <w:br/>
      </w:r>
    </w:p>
    <w:p w14:paraId="4DE35B24" w14:textId="2BC2FE44"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Heads of state, heads of government, ministers and deputy or assistant ministers</w:t>
      </w:r>
    </w:p>
    <w:p w14:paraId="262C45D4" w14:textId="269DE0DE"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Members of parliament or similar legislative bodies</w:t>
      </w:r>
    </w:p>
    <w:p w14:paraId="0B7F9003" w14:textId="11C85F9F"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Members of governing bodies of political parties</w:t>
      </w:r>
    </w:p>
    <w:p w14:paraId="0CDE9CB5" w14:textId="50E4F9FD"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Members of supreme courts, of constitutional courts, or any judicial body whose decisions are not subject to further appeal, except in exceptional circumstances</w:t>
      </w:r>
    </w:p>
    <w:p w14:paraId="532E71AB" w14:textId="2892BB11"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Members of courts of auditors or of the boards of central banks</w:t>
      </w:r>
    </w:p>
    <w:p w14:paraId="37CB8384" w14:textId="201F4881"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Ambassadors, charges d'affaires and high-ranking officers in the armed forces</w:t>
      </w:r>
    </w:p>
    <w:p w14:paraId="16281B0E" w14:textId="2E6B80BA"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Members of the administrative, management or supervisory bodies of state-owned enterprises</w:t>
      </w:r>
    </w:p>
    <w:p w14:paraId="49A3C48F" w14:textId="61D2B638" w:rsidR="00125DA1" w:rsidRPr="00012467" w:rsidRDefault="00125DA1" w:rsidP="004A06CE">
      <w:pPr>
        <w:pStyle w:val="NoSpacing"/>
        <w:numPr>
          <w:ilvl w:val="0"/>
          <w:numId w:val="15"/>
        </w:numPr>
        <w:rPr>
          <w:rFonts w:ascii="Inter" w:hAnsi="Inter" w:cstheme="minorHAnsi"/>
        </w:rPr>
      </w:pPr>
      <w:r w:rsidRPr="00012467">
        <w:rPr>
          <w:rFonts w:ascii="Inter" w:hAnsi="Inter" w:cstheme="minorHAnsi"/>
        </w:rPr>
        <w:t>Directors, deputy directors and members of the board of equivalent function of an international organisation.</w:t>
      </w:r>
    </w:p>
    <w:p w14:paraId="5B18DC3F" w14:textId="77777777" w:rsidR="00125DA1" w:rsidRPr="00012467" w:rsidRDefault="00125DA1" w:rsidP="00125DA1">
      <w:pPr>
        <w:pStyle w:val="NoSpacing"/>
        <w:rPr>
          <w:rFonts w:ascii="Inter" w:hAnsi="Inter" w:cstheme="minorHAnsi"/>
        </w:rPr>
      </w:pPr>
    </w:p>
    <w:p w14:paraId="2AB8890D" w14:textId="642D31D3" w:rsidR="00125DA1" w:rsidRPr="00012467" w:rsidRDefault="00125DA1" w:rsidP="00125DA1">
      <w:pPr>
        <w:pStyle w:val="NoSpacing"/>
        <w:rPr>
          <w:rFonts w:ascii="Inter" w:hAnsi="Inter" w:cstheme="minorHAnsi"/>
        </w:rPr>
      </w:pPr>
      <w:r w:rsidRPr="00012467">
        <w:rPr>
          <w:rFonts w:ascii="Inter" w:hAnsi="Inter" w:cstheme="minorHAnsi"/>
        </w:rPr>
        <w:t>In addition to the primary PEPs listed above, a PEP also includes (R</w:t>
      </w:r>
      <w:r w:rsidR="00AF7125" w:rsidRPr="00012467">
        <w:rPr>
          <w:rFonts w:ascii="Inter" w:hAnsi="Inter" w:cstheme="minorHAnsi"/>
        </w:rPr>
        <w:t>.</w:t>
      </w:r>
      <w:r w:rsidRPr="00012467">
        <w:rPr>
          <w:rFonts w:ascii="Inter" w:hAnsi="Inter" w:cstheme="minorHAnsi"/>
        </w:rPr>
        <w:t>35(12)):</w:t>
      </w:r>
      <w:r w:rsidR="00AF7125" w:rsidRPr="00012467">
        <w:rPr>
          <w:rFonts w:ascii="Inter" w:hAnsi="Inter" w:cstheme="minorHAnsi"/>
        </w:rPr>
        <w:br/>
      </w:r>
    </w:p>
    <w:p w14:paraId="20771720" w14:textId="37A48884" w:rsidR="00125DA1" w:rsidRPr="00012467" w:rsidRDefault="00125DA1" w:rsidP="004A06CE">
      <w:pPr>
        <w:pStyle w:val="NoSpacing"/>
        <w:numPr>
          <w:ilvl w:val="0"/>
          <w:numId w:val="14"/>
        </w:numPr>
        <w:rPr>
          <w:rFonts w:ascii="Inter" w:hAnsi="Inter" w:cstheme="minorHAnsi"/>
        </w:rPr>
      </w:pPr>
      <w:r w:rsidRPr="00012467">
        <w:rPr>
          <w:rFonts w:ascii="Inter" w:hAnsi="Inter" w:cstheme="minorHAnsi"/>
        </w:rPr>
        <w:t>Family members of a PEP – spouse, civil partner, children, their spouses or partners, and parents</w:t>
      </w:r>
    </w:p>
    <w:p w14:paraId="13BEEA70" w14:textId="0545E4DC" w:rsidR="00125DA1" w:rsidRPr="00012467" w:rsidRDefault="00125DA1" w:rsidP="004A06CE">
      <w:pPr>
        <w:pStyle w:val="NoSpacing"/>
        <w:numPr>
          <w:ilvl w:val="0"/>
          <w:numId w:val="14"/>
        </w:numPr>
        <w:rPr>
          <w:rFonts w:ascii="Inter" w:hAnsi="Inter" w:cstheme="minorHAnsi"/>
        </w:rPr>
      </w:pPr>
      <w:r w:rsidRPr="00012467">
        <w:rPr>
          <w:rFonts w:ascii="Inter" w:hAnsi="Inter" w:cstheme="minorHAnsi"/>
        </w:rPr>
        <w:t xml:space="preserve">Known close associates of a PEP – persons with whom joint beneficial </w:t>
      </w:r>
    </w:p>
    <w:p w14:paraId="6053C66D" w14:textId="74267287" w:rsidR="00125DA1" w:rsidRPr="00012467" w:rsidRDefault="008A60BF" w:rsidP="004A06CE">
      <w:pPr>
        <w:pStyle w:val="NoSpacing"/>
        <w:numPr>
          <w:ilvl w:val="0"/>
          <w:numId w:val="14"/>
        </w:numPr>
        <w:rPr>
          <w:rFonts w:ascii="Inter" w:hAnsi="Inter" w:cstheme="minorHAnsi"/>
        </w:rPr>
      </w:pPr>
      <w:r w:rsidRPr="00012467">
        <w:rPr>
          <w:rFonts w:ascii="Inter" w:hAnsi="Inter" w:cstheme="minorHAnsi"/>
        </w:rPr>
        <w:t>O</w:t>
      </w:r>
      <w:r w:rsidR="00125DA1" w:rsidRPr="00012467">
        <w:rPr>
          <w:rFonts w:ascii="Inter" w:hAnsi="Inter" w:cstheme="minorHAnsi"/>
        </w:rPr>
        <w:t xml:space="preserve">wnership of a legal entity or legal arrangement is held, with whom there are </w:t>
      </w:r>
      <w:r w:rsidRPr="00012467">
        <w:rPr>
          <w:rFonts w:ascii="Inter" w:hAnsi="Inter" w:cstheme="minorHAnsi"/>
        </w:rPr>
        <w:t>c</w:t>
      </w:r>
      <w:r w:rsidR="00125DA1" w:rsidRPr="00012467">
        <w:rPr>
          <w:rFonts w:ascii="Inter" w:hAnsi="Inter" w:cstheme="minorHAnsi"/>
        </w:rPr>
        <w:t xml:space="preserve">lose business relationships, or who is a sole beneficial owner of a legal entity </w:t>
      </w:r>
      <w:r w:rsidRPr="00012467">
        <w:rPr>
          <w:rFonts w:ascii="Inter" w:hAnsi="Inter" w:cstheme="minorHAnsi"/>
        </w:rPr>
        <w:t>a</w:t>
      </w:r>
      <w:r w:rsidR="00125DA1" w:rsidRPr="00012467">
        <w:rPr>
          <w:rFonts w:ascii="Inter" w:hAnsi="Inter" w:cstheme="minorHAnsi"/>
        </w:rPr>
        <w:t>rrangement set up by the primary PEP</w:t>
      </w:r>
    </w:p>
    <w:p w14:paraId="020492D1" w14:textId="04811374" w:rsidR="00B7243E" w:rsidRPr="00012467" w:rsidRDefault="00B7243E" w:rsidP="00B7243E">
      <w:pPr>
        <w:pStyle w:val="NoSpacing"/>
        <w:rPr>
          <w:rFonts w:ascii="Inter" w:hAnsi="Inter" w:cstheme="minorHAnsi"/>
        </w:rPr>
      </w:pPr>
    </w:p>
    <w:p w14:paraId="66D3ED1B" w14:textId="50C6B42F" w:rsidR="00B7243E" w:rsidRPr="00012467" w:rsidRDefault="00B7243E" w:rsidP="00B7243E">
      <w:pPr>
        <w:pStyle w:val="NoSpacing"/>
        <w:rPr>
          <w:rFonts w:ascii="Inter" w:hAnsi="Inter" w:cstheme="minorHAnsi"/>
        </w:rPr>
      </w:pPr>
      <w:r w:rsidRPr="00012467">
        <w:rPr>
          <w:rFonts w:ascii="Inter" w:hAnsi="Inter" w:cstheme="minorHAnsi"/>
        </w:rPr>
        <w:t>Further info</w:t>
      </w:r>
      <w:r w:rsidR="00314E61" w:rsidRPr="00012467">
        <w:rPr>
          <w:rFonts w:ascii="Inter" w:hAnsi="Inter" w:cstheme="minorHAnsi"/>
        </w:rPr>
        <w:t>rmation</w:t>
      </w:r>
      <w:r w:rsidRPr="00012467">
        <w:rPr>
          <w:rFonts w:ascii="Inter" w:hAnsi="Inter" w:cstheme="minorHAnsi"/>
        </w:rPr>
        <w:t xml:space="preserve"> on </w:t>
      </w:r>
      <w:r w:rsidR="00314E61" w:rsidRPr="00012467">
        <w:rPr>
          <w:rFonts w:ascii="Inter" w:hAnsi="Inter" w:cstheme="minorHAnsi"/>
        </w:rPr>
        <w:t>PEPs</w:t>
      </w:r>
      <w:r w:rsidRPr="00012467">
        <w:rPr>
          <w:rFonts w:ascii="Inter" w:hAnsi="Inter" w:cstheme="minorHAnsi"/>
        </w:rPr>
        <w:t xml:space="preserve"> is contained within the FCA guidance – </w:t>
      </w:r>
      <w:hyperlink r:id="rId20" w:history="1">
        <w:r w:rsidR="00314E61" w:rsidRPr="00012467">
          <w:rPr>
            <w:rStyle w:val="Hyperlink"/>
            <w:rFonts w:ascii="Inter" w:hAnsi="Inter"/>
          </w:rPr>
          <w:t>FG17/6: The treatment of politically exposed persons for anti-money laundering purposes (fca.org.uk)</w:t>
        </w:r>
      </w:hyperlink>
    </w:p>
    <w:p w14:paraId="488B94DB" w14:textId="77777777" w:rsidR="00105E45" w:rsidRPr="00012467" w:rsidRDefault="00105E45" w:rsidP="008A60BF">
      <w:pPr>
        <w:pStyle w:val="NoSpacing"/>
        <w:rPr>
          <w:rFonts w:ascii="Inter" w:hAnsi="Inter" w:cstheme="minorHAnsi"/>
        </w:rPr>
      </w:pPr>
    </w:p>
    <w:p w14:paraId="5B5ED7AB" w14:textId="18C55E05" w:rsidR="00B37885" w:rsidRPr="00012467" w:rsidRDefault="008A60BF" w:rsidP="00B37885">
      <w:pPr>
        <w:pStyle w:val="Heading2"/>
        <w:rPr>
          <w:rFonts w:ascii="Inter" w:hAnsi="Inter" w:cstheme="majorHAnsi"/>
          <w:sz w:val="18"/>
          <w:szCs w:val="18"/>
          <w:u w:val="single"/>
        </w:rPr>
      </w:pPr>
      <w:bookmarkStart w:id="21" w:name="_Toc126840572"/>
      <w:r w:rsidRPr="00012467">
        <w:rPr>
          <w:rFonts w:ascii="Inter" w:hAnsi="Inter" w:cstheme="majorHAnsi"/>
          <w:sz w:val="24"/>
          <w:szCs w:val="24"/>
          <w:u w:val="single"/>
        </w:rPr>
        <w:t>Identifying a PEP</w:t>
      </w:r>
      <w:bookmarkEnd w:id="21"/>
      <w:r w:rsidR="00B37885" w:rsidRPr="00012467">
        <w:rPr>
          <w:rFonts w:ascii="Inter" w:hAnsi="Inter" w:cstheme="majorHAnsi"/>
          <w:sz w:val="24"/>
          <w:szCs w:val="24"/>
          <w:u w:val="single"/>
        </w:rPr>
        <w:br/>
      </w:r>
    </w:p>
    <w:p w14:paraId="426C642E" w14:textId="71F66B4F" w:rsidR="008A60BF" w:rsidRPr="00012467" w:rsidRDefault="008A60BF" w:rsidP="008A60BF">
      <w:pPr>
        <w:pStyle w:val="NoSpacing"/>
        <w:rPr>
          <w:rFonts w:ascii="Inter" w:hAnsi="Inter" w:cstheme="minorHAnsi"/>
          <w:b/>
          <w:bCs/>
        </w:rPr>
      </w:pPr>
      <w:r w:rsidRPr="00012467">
        <w:rPr>
          <w:rFonts w:ascii="Inter" w:hAnsi="Inter" w:cstheme="minorHAnsi"/>
          <w:b/>
          <w:bCs/>
        </w:rPr>
        <w:t>LSAG guidance 6.19.3.2</w:t>
      </w:r>
    </w:p>
    <w:p w14:paraId="157FA904" w14:textId="002DC822" w:rsidR="00105E45" w:rsidRPr="003F7E44" w:rsidRDefault="00105E45" w:rsidP="008A60BF">
      <w:pPr>
        <w:pStyle w:val="NoSpacing"/>
        <w:rPr>
          <w:rFonts w:ascii="Inter" w:hAnsi="Inter" w:cstheme="minorHAnsi"/>
        </w:rPr>
      </w:pPr>
    </w:p>
    <w:p w14:paraId="40804FD7" w14:textId="38125600" w:rsidR="00105E45" w:rsidRPr="003F7E44" w:rsidRDefault="00CE4922" w:rsidP="00105E45">
      <w:pPr>
        <w:pStyle w:val="NoSpacing"/>
        <w:rPr>
          <w:rFonts w:ascii="Inter" w:hAnsi="Inter" w:cstheme="minorHAnsi"/>
          <w:color w:val="7030A0"/>
        </w:rPr>
      </w:pPr>
      <w:r w:rsidRPr="003F7E44">
        <w:rPr>
          <w:rFonts w:ascii="Inter" w:hAnsi="Inter" w:cstheme="minorHAnsi"/>
          <w:color w:val="7030A0"/>
        </w:rPr>
        <w:t xml:space="preserve">How this is undertaken </w:t>
      </w:r>
      <w:r w:rsidR="00105E45" w:rsidRPr="003F7E44">
        <w:rPr>
          <w:rFonts w:ascii="Inter" w:hAnsi="Inter" w:cstheme="minorHAnsi"/>
          <w:color w:val="7030A0"/>
        </w:rPr>
        <w:t xml:space="preserve">will depend on the size and nature of your Practice. </w:t>
      </w:r>
    </w:p>
    <w:p w14:paraId="77635E05" w14:textId="1583D282" w:rsidR="00105E45" w:rsidRPr="003F7E44" w:rsidRDefault="00105E45" w:rsidP="00105E45">
      <w:pPr>
        <w:pStyle w:val="NoSpacing"/>
        <w:rPr>
          <w:rFonts w:ascii="Inter" w:hAnsi="Inter" w:cstheme="minorHAnsi"/>
          <w:color w:val="7030A0"/>
        </w:rPr>
      </w:pPr>
      <w:r w:rsidRPr="003F7E44">
        <w:rPr>
          <w:rFonts w:ascii="Inter" w:hAnsi="Inter" w:cstheme="minorHAnsi"/>
          <w:color w:val="7030A0"/>
        </w:rPr>
        <w:t>If you have decided not to engage with clients who meet the definition of a PEP, the rationale behind this must be clearly documented within your PCPs.</w:t>
      </w:r>
    </w:p>
    <w:p w14:paraId="5BA6B87D" w14:textId="31D2ED6A" w:rsidR="008A60BF" w:rsidRPr="00012467" w:rsidRDefault="008A60BF" w:rsidP="008A60BF">
      <w:pPr>
        <w:pStyle w:val="NoSpacing"/>
        <w:rPr>
          <w:rFonts w:ascii="Inter" w:hAnsi="Inter" w:cstheme="minorHAnsi"/>
        </w:rPr>
      </w:pPr>
    </w:p>
    <w:p w14:paraId="7C5D2009" w14:textId="692DA51E" w:rsidR="008A60BF" w:rsidRPr="00012467" w:rsidRDefault="008A60BF" w:rsidP="007968E5">
      <w:pPr>
        <w:pStyle w:val="NoSpacing"/>
        <w:rPr>
          <w:rFonts w:ascii="Inter" w:hAnsi="Inter"/>
        </w:rPr>
      </w:pPr>
      <w:r w:rsidRPr="00012467">
        <w:rPr>
          <w:rFonts w:ascii="Inter" w:hAnsi="Inter"/>
        </w:rPr>
        <w:t>R</w:t>
      </w:r>
      <w:r w:rsidR="00AF7125" w:rsidRPr="00012467">
        <w:rPr>
          <w:rFonts w:ascii="Inter" w:hAnsi="Inter"/>
        </w:rPr>
        <w:t>.</w:t>
      </w:r>
      <w:r w:rsidRPr="00012467">
        <w:rPr>
          <w:rFonts w:ascii="Inter" w:hAnsi="Inter"/>
        </w:rPr>
        <w:t>35(1) requires us to have appropriate risk management systems and procedures to determine whether a client or beneficial owner is a PEP.</w:t>
      </w:r>
    </w:p>
    <w:p w14:paraId="514AE6C3" w14:textId="77777777" w:rsidR="007968E5" w:rsidRPr="00012467" w:rsidRDefault="007968E5" w:rsidP="007968E5">
      <w:pPr>
        <w:pStyle w:val="NoSpacing"/>
        <w:rPr>
          <w:rFonts w:ascii="Inter" w:hAnsi="Inter"/>
        </w:rPr>
      </w:pPr>
    </w:p>
    <w:p w14:paraId="1DF095C9" w14:textId="54864B99" w:rsidR="00625F43" w:rsidRPr="00012467" w:rsidRDefault="00625F43" w:rsidP="007968E5">
      <w:pPr>
        <w:pStyle w:val="NoSpacing"/>
        <w:rPr>
          <w:rFonts w:ascii="Inter" w:hAnsi="Inter"/>
        </w:rPr>
      </w:pPr>
      <w:r w:rsidRPr="00012467">
        <w:rPr>
          <w:rFonts w:ascii="Inter" w:hAnsi="Inter"/>
          <w:color w:val="FF0000"/>
        </w:rPr>
        <w:t>[</w:t>
      </w:r>
      <w:r w:rsidR="00257D2C" w:rsidRPr="00012467">
        <w:rPr>
          <w:rFonts w:ascii="Inter" w:hAnsi="Inter"/>
          <w:color w:val="FF0000"/>
        </w:rPr>
        <w:t>PRACTICE</w:t>
      </w:r>
      <w:r w:rsidRPr="00012467">
        <w:rPr>
          <w:rFonts w:ascii="Inter" w:hAnsi="Inter"/>
          <w:color w:val="FF0000"/>
        </w:rPr>
        <w:t xml:space="preserve"> NAME] </w:t>
      </w:r>
      <w:r w:rsidRPr="00012467">
        <w:rPr>
          <w:rFonts w:ascii="Inter" w:hAnsi="Inter"/>
        </w:rPr>
        <w:t>take a risk-based approach to identifying PEP’s.</w:t>
      </w:r>
    </w:p>
    <w:p w14:paraId="63E2F84A" w14:textId="77777777" w:rsidR="00DA1B07" w:rsidRPr="00012467" w:rsidRDefault="00DA1B07" w:rsidP="00625F43">
      <w:pPr>
        <w:pStyle w:val="NoSpacing"/>
        <w:rPr>
          <w:rFonts w:ascii="Inter" w:hAnsi="Inter" w:cstheme="minorHAnsi"/>
          <w:color w:val="7030A0"/>
        </w:rPr>
      </w:pPr>
    </w:p>
    <w:p w14:paraId="0F701B2D" w14:textId="45D4506F" w:rsidR="00C1426F" w:rsidRPr="00012467" w:rsidRDefault="00C1426F" w:rsidP="00625F43">
      <w:pPr>
        <w:pStyle w:val="NoSpacing"/>
        <w:rPr>
          <w:rFonts w:ascii="Inter" w:hAnsi="Inter" w:cstheme="minorHAnsi"/>
          <w:color w:val="7030A0"/>
        </w:rPr>
      </w:pPr>
      <w:r w:rsidRPr="00012467">
        <w:rPr>
          <w:rFonts w:ascii="Inter" w:hAnsi="Inter" w:cstheme="minorHAnsi"/>
          <w:color w:val="7030A0"/>
        </w:rPr>
        <w:lastRenderedPageBreak/>
        <w:t>In Practices where undertaking work on behalf of a PEP is unlikely or rare</w:t>
      </w:r>
      <w:r w:rsidR="007B37D9" w:rsidRPr="00012467">
        <w:rPr>
          <w:rFonts w:ascii="Inter" w:hAnsi="Inter" w:cstheme="minorHAnsi"/>
          <w:color w:val="7030A0"/>
        </w:rPr>
        <w:t>, it may be acceptable to use publicly available or open sources</w:t>
      </w:r>
      <w:r w:rsidR="00A67690" w:rsidRPr="00012467">
        <w:rPr>
          <w:rFonts w:ascii="Inter" w:hAnsi="Inter" w:cstheme="minorHAnsi"/>
          <w:color w:val="7030A0"/>
        </w:rPr>
        <w:t xml:space="preserve"> to assist with identifying a PEP</w:t>
      </w:r>
      <w:r w:rsidR="007B37D9" w:rsidRPr="00012467">
        <w:rPr>
          <w:rFonts w:ascii="Inter" w:hAnsi="Inter" w:cstheme="minorHAnsi"/>
          <w:color w:val="7030A0"/>
        </w:rPr>
        <w:t xml:space="preserve">. </w:t>
      </w:r>
    </w:p>
    <w:p w14:paraId="587EB3DA" w14:textId="0FC686A5" w:rsidR="00C1426F" w:rsidRPr="00012467" w:rsidRDefault="00C1426F" w:rsidP="00625F43">
      <w:pPr>
        <w:pStyle w:val="NoSpacing"/>
        <w:rPr>
          <w:rFonts w:ascii="Inter" w:hAnsi="Inter" w:cstheme="minorHAnsi"/>
        </w:rPr>
      </w:pPr>
    </w:p>
    <w:p w14:paraId="4E281041" w14:textId="5225AA00" w:rsidR="00C1426F" w:rsidRPr="00012467" w:rsidRDefault="00C1426F" w:rsidP="00625F43">
      <w:pPr>
        <w:pStyle w:val="NoSpacing"/>
        <w:rPr>
          <w:rFonts w:ascii="Inter" w:hAnsi="Inter" w:cstheme="minorHAnsi"/>
          <w:color w:val="7030A0"/>
        </w:rPr>
      </w:pPr>
      <w:r w:rsidRPr="00012467">
        <w:rPr>
          <w:rFonts w:ascii="Inter" w:hAnsi="Inter" w:cstheme="minorHAnsi"/>
          <w:color w:val="7030A0"/>
        </w:rPr>
        <w:t xml:space="preserve">Simple measures may include: </w:t>
      </w:r>
    </w:p>
    <w:p w14:paraId="09F7A7D5" w14:textId="77777777" w:rsidR="00C1426F" w:rsidRPr="00012467" w:rsidRDefault="00C1426F" w:rsidP="00625F43">
      <w:pPr>
        <w:pStyle w:val="NoSpacing"/>
        <w:rPr>
          <w:rFonts w:ascii="Inter" w:hAnsi="Inter" w:cstheme="minorHAnsi"/>
          <w:color w:val="7030A0"/>
        </w:rPr>
      </w:pPr>
    </w:p>
    <w:p w14:paraId="1B7EA1FC" w14:textId="7423DA6D" w:rsidR="00C1426F" w:rsidRPr="00012467" w:rsidRDefault="00C1426F" w:rsidP="004A06CE">
      <w:pPr>
        <w:pStyle w:val="NoSpacing"/>
        <w:numPr>
          <w:ilvl w:val="0"/>
          <w:numId w:val="22"/>
        </w:numPr>
        <w:rPr>
          <w:rFonts w:ascii="Inter" w:hAnsi="Inter" w:cstheme="minorHAnsi"/>
          <w:color w:val="7030A0"/>
        </w:rPr>
      </w:pPr>
      <w:r w:rsidRPr="00012467">
        <w:rPr>
          <w:rFonts w:ascii="Inter" w:hAnsi="Inter" w:cstheme="minorHAnsi"/>
          <w:color w:val="7030A0"/>
        </w:rPr>
        <w:t>Asking the client or their representative (as appropriate) whether the person is a PEP, as a part of client onboarding</w:t>
      </w:r>
    </w:p>
    <w:p w14:paraId="2D2DFDA8" w14:textId="7C4C9E4D" w:rsidR="00C1426F" w:rsidRPr="00012467" w:rsidRDefault="00C1426F" w:rsidP="004A06CE">
      <w:pPr>
        <w:pStyle w:val="NoSpacing"/>
        <w:numPr>
          <w:ilvl w:val="0"/>
          <w:numId w:val="22"/>
        </w:numPr>
        <w:rPr>
          <w:rFonts w:ascii="Inter" w:hAnsi="Inter" w:cstheme="minorHAnsi"/>
          <w:color w:val="7030A0"/>
        </w:rPr>
      </w:pPr>
      <w:r w:rsidRPr="00012467">
        <w:rPr>
          <w:rFonts w:ascii="Inter" w:hAnsi="Inter" w:cstheme="minorHAnsi"/>
          <w:color w:val="7030A0"/>
        </w:rPr>
        <w:t xml:space="preserve">Performing an internet search </w:t>
      </w:r>
      <w:r w:rsidR="00A67690" w:rsidRPr="00012467">
        <w:rPr>
          <w:rFonts w:ascii="Inter" w:hAnsi="Inter" w:cstheme="minorHAnsi"/>
          <w:color w:val="7030A0"/>
        </w:rPr>
        <w:t>to</w:t>
      </w:r>
      <w:r w:rsidRPr="00012467">
        <w:rPr>
          <w:rFonts w:ascii="Inter" w:hAnsi="Inter" w:cstheme="minorHAnsi"/>
          <w:color w:val="7030A0"/>
        </w:rPr>
        <w:t xml:space="preserve"> check whether the individual may hold any position that qualifies them as a PEP</w:t>
      </w:r>
    </w:p>
    <w:p w14:paraId="45106494" w14:textId="24A16DE2" w:rsidR="00C1426F" w:rsidRPr="00012467" w:rsidRDefault="00C1426F" w:rsidP="004A06CE">
      <w:pPr>
        <w:pStyle w:val="NoSpacing"/>
        <w:numPr>
          <w:ilvl w:val="0"/>
          <w:numId w:val="22"/>
        </w:numPr>
        <w:rPr>
          <w:rFonts w:ascii="Inter" w:hAnsi="Inter" w:cstheme="minorHAnsi"/>
          <w:color w:val="7030A0"/>
        </w:rPr>
      </w:pPr>
      <w:r w:rsidRPr="00012467">
        <w:rPr>
          <w:rFonts w:ascii="Inter" w:hAnsi="Inter" w:cstheme="minorHAnsi"/>
          <w:color w:val="7030A0"/>
        </w:rPr>
        <w:t>Reviewing the information, they submit to you carefully to determine whether any information you have access to, suggests they may be a PEP</w:t>
      </w:r>
    </w:p>
    <w:p w14:paraId="4C53D3FE" w14:textId="77777777" w:rsidR="00C1426F" w:rsidRPr="00012467" w:rsidRDefault="00C1426F" w:rsidP="00625F43">
      <w:pPr>
        <w:pStyle w:val="NoSpacing"/>
        <w:rPr>
          <w:rFonts w:ascii="Inter" w:hAnsi="Inter" w:cstheme="minorHAnsi"/>
          <w:i/>
          <w:iCs/>
          <w:color w:val="7030A0"/>
        </w:rPr>
      </w:pPr>
    </w:p>
    <w:p w14:paraId="77066E53" w14:textId="05E81E9B" w:rsidR="00A64970" w:rsidRPr="003F7E44" w:rsidRDefault="00A64970" w:rsidP="00A64970">
      <w:pPr>
        <w:pStyle w:val="NoSpacing"/>
        <w:rPr>
          <w:rFonts w:ascii="Inter" w:hAnsi="Inter" w:cstheme="minorHAnsi"/>
          <w:color w:val="7030A0"/>
          <w:u w:val="single"/>
        </w:rPr>
      </w:pPr>
      <w:r w:rsidRPr="003F7E44">
        <w:rPr>
          <w:rFonts w:ascii="Inter" w:hAnsi="Inter" w:cstheme="minorHAnsi"/>
          <w:color w:val="7030A0"/>
          <w:u w:val="single"/>
        </w:rPr>
        <w:t>If PEPs are identified the practice must have a clear</w:t>
      </w:r>
      <w:r w:rsidR="004E6719" w:rsidRPr="003F7E44">
        <w:rPr>
          <w:rFonts w:ascii="Inter" w:hAnsi="Inter" w:cstheme="minorHAnsi"/>
          <w:color w:val="7030A0"/>
          <w:u w:val="single"/>
        </w:rPr>
        <w:t>, written</w:t>
      </w:r>
      <w:r w:rsidRPr="003F7E44">
        <w:rPr>
          <w:rFonts w:ascii="Inter" w:hAnsi="Inter" w:cstheme="minorHAnsi"/>
          <w:color w:val="7030A0"/>
          <w:u w:val="single"/>
        </w:rPr>
        <w:t xml:space="preserve"> procedure in place to perform the requisite EDD in line with r.35 as well as detailing how that relationship/client should be managed.</w:t>
      </w:r>
    </w:p>
    <w:p w14:paraId="7E182FF0" w14:textId="77777777" w:rsidR="00A64970" w:rsidRPr="00012467" w:rsidRDefault="00A64970" w:rsidP="00A64970">
      <w:pPr>
        <w:pStyle w:val="NoSpacing"/>
        <w:rPr>
          <w:rFonts w:ascii="Inter" w:hAnsi="Inter" w:cstheme="minorHAnsi"/>
          <w:color w:val="7030A0"/>
        </w:rPr>
      </w:pPr>
    </w:p>
    <w:p w14:paraId="21E3016B" w14:textId="1E32D107" w:rsidR="00A64970" w:rsidRPr="00012467" w:rsidRDefault="00473883" w:rsidP="00A64970">
      <w:pPr>
        <w:pStyle w:val="NoSpacing"/>
        <w:rPr>
          <w:rFonts w:ascii="Inter" w:hAnsi="Inter" w:cstheme="minorHAnsi"/>
        </w:rPr>
      </w:pPr>
      <w:r w:rsidRPr="00012467">
        <w:rPr>
          <w:rFonts w:ascii="Inter" w:hAnsi="Inter" w:cstheme="minorHAnsi"/>
        </w:rPr>
        <w:t xml:space="preserve">It is important to note that if a PEP relationship is established, the Regulations specify that </w:t>
      </w:r>
      <w:r w:rsidR="00111205" w:rsidRPr="00012467">
        <w:rPr>
          <w:rFonts w:ascii="Inter" w:hAnsi="Inter" w:cstheme="minorHAnsi"/>
        </w:rPr>
        <w:t>we</w:t>
      </w:r>
      <w:r w:rsidRPr="00012467">
        <w:rPr>
          <w:rFonts w:ascii="Inter" w:hAnsi="Inter" w:cstheme="minorHAnsi"/>
        </w:rPr>
        <w:t xml:space="preserve"> </w:t>
      </w:r>
      <w:r w:rsidRPr="00012467">
        <w:rPr>
          <w:rFonts w:ascii="Inter" w:hAnsi="Inter" w:cstheme="minorHAnsi"/>
          <w:b/>
          <w:bCs/>
          <w:u w:val="single"/>
        </w:rPr>
        <w:t>must</w:t>
      </w:r>
      <w:r w:rsidR="00A64970" w:rsidRPr="00012467">
        <w:rPr>
          <w:rFonts w:ascii="Inter" w:hAnsi="Inter" w:cstheme="minorHAnsi"/>
          <w:b/>
          <w:bCs/>
        </w:rPr>
        <w:t xml:space="preserve"> </w:t>
      </w:r>
      <w:r w:rsidRPr="00012467">
        <w:rPr>
          <w:rFonts w:ascii="Inter" w:hAnsi="Inter" w:cstheme="minorHAnsi"/>
        </w:rPr>
        <w:t>take the following steps to deal with the heightened risk:</w:t>
      </w:r>
    </w:p>
    <w:p w14:paraId="3FC7FAE6" w14:textId="77777777" w:rsidR="00473883" w:rsidRPr="00012467" w:rsidRDefault="00473883" w:rsidP="00A64970">
      <w:pPr>
        <w:pStyle w:val="NoSpacing"/>
        <w:rPr>
          <w:rFonts w:ascii="Inter" w:hAnsi="Inter" w:cstheme="minorHAnsi"/>
        </w:rPr>
      </w:pPr>
    </w:p>
    <w:p w14:paraId="69BF5EBA" w14:textId="458EC6A9" w:rsidR="00473883" w:rsidRPr="00012467" w:rsidRDefault="00473883" w:rsidP="004A06CE">
      <w:pPr>
        <w:pStyle w:val="NoSpacing"/>
        <w:numPr>
          <w:ilvl w:val="0"/>
          <w:numId w:val="22"/>
        </w:numPr>
        <w:rPr>
          <w:rFonts w:ascii="Inter" w:hAnsi="Inter" w:cstheme="minorHAnsi"/>
        </w:rPr>
      </w:pPr>
      <w:r w:rsidRPr="00012467">
        <w:rPr>
          <w:rFonts w:ascii="Inter" w:hAnsi="Inter" w:cstheme="minorHAnsi"/>
        </w:rPr>
        <w:t>Have senior management approval for establishing a business relationship with a PEP or an entity beneficially owned by a PEP</w:t>
      </w:r>
    </w:p>
    <w:p w14:paraId="11681039" w14:textId="5ABE60E5" w:rsidR="00473883" w:rsidRPr="00012467" w:rsidRDefault="00473883" w:rsidP="004A06CE">
      <w:pPr>
        <w:pStyle w:val="NoSpacing"/>
        <w:numPr>
          <w:ilvl w:val="0"/>
          <w:numId w:val="22"/>
        </w:numPr>
        <w:rPr>
          <w:rFonts w:ascii="Inter" w:hAnsi="Inter" w:cstheme="minorHAnsi"/>
        </w:rPr>
      </w:pPr>
      <w:r w:rsidRPr="00012467">
        <w:rPr>
          <w:rFonts w:ascii="Inter" w:hAnsi="Inter" w:cstheme="minorHAnsi"/>
        </w:rPr>
        <w:t xml:space="preserve">Take adequate measures to establish the SoF and SoW which are involved in the business relationship </w:t>
      </w:r>
      <w:r w:rsidR="001A331F" w:rsidRPr="00012467">
        <w:rPr>
          <w:rFonts w:ascii="Inter" w:hAnsi="Inter" w:cstheme="minorHAnsi"/>
        </w:rPr>
        <w:t>or occasional transaction</w:t>
      </w:r>
    </w:p>
    <w:p w14:paraId="54981E70" w14:textId="13C8273D" w:rsidR="001A331F" w:rsidRPr="00012467" w:rsidRDefault="001A331F" w:rsidP="004A06CE">
      <w:pPr>
        <w:pStyle w:val="NoSpacing"/>
        <w:numPr>
          <w:ilvl w:val="0"/>
          <w:numId w:val="22"/>
        </w:numPr>
        <w:rPr>
          <w:rFonts w:ascii="Inter" w:hAnsi="Inter" w:cstheme="minorHAnsi"/>
        </w:rPr>
      </w:pPr>
      <w:r w:rsidRPr="00012467">
        <w:rPr>
          <w:rFonts w:ascii="Inter" w:hAnsi="Inter" w:cstheme="minorHAnsi"/>
        </w:rPr>
        <w:t xml:space="preserve">Conduct closer ongoing monitoring of the business relationship </w:t>
      </w:r>
    </w:p>
    <w:p w14:paraId="55579028" w14:textId="3BB7AF57" w:rsidR="00473883" w:rsidRPr="00012467" w:rsidRDefault="009928AE" w:rsidP="004A06CE">
      <w:pPr>
        <w:pStyle w:val="NoSpacing"/>
        <w:numPr>
          <w:ilvl w:val="0"/>
          <w:numId w:val="22"/>
        </w:numPr>
        <w:rPr>
          <w:rFonts w:ascii="Inter" w:hAnsi="Inter" w:cstheme="minorHAnsi"/>
        </w:rPr>
      </w:pPr>
      <w:r w:rsidRPr="00012467">
        <w:rPr>
          <w:rFonts w:ascii="Inter" w:hAnsi="Inter" w:cstheme="minorHAnsi"/>
        </w:rPr>
        <w:t>Consider which aspects of your EDD protocol are appropriate for the PEP in question</w:t>
      </w:r>
    </w:p>
    <w:p w14:paraId="6A5ED859" w14:textId="77777777" w:rsidR="0030684D" w:rsidRPr="00012467" w:rsidRDefault="0030684D" w:rsidP="0030684D">
      <w:pPr>
        <w:pStyle w:val="NoSpacing"/>
        <w:rPr>
          <w:rFonts w:ascii="Inter" w:hAnsi="Inter" w:cstheme="minorHAnsi"/>
          <w:color w:val="7030A0"/>
        </w:rPr>
      </w:pPr>
    </w:p>
    <w:p w14:paraId="469B36BC" w14:textId="692650F5" w:rsidR="0030684D" w:rsidRPr="00012467" w:rsidRDefault="0030684D" w:rsidP="0030684D">
      <w:pPr>
        <w:pStyle w:val="NoSpacing"/>
        <w:rPr>
          <w:rFonts w:ascii="Inter" w:hAnsi="Inter" w:cstheme="minorHAnsi"/>
        </w:rPr>
      </w:pPr>
      <w:r w:rsidRPr="00012467">
        <w:rPr>
          <w:rFonts w:ascii="Inter" w:hAnsi="Inter" w:cstheme="minorHAnsi"/>
        </w:rPr>
        <w:t xml:space="preserve">Questions </w:t>
      </w:r>
      <w:r w:rsidR="00111205" w:rsidRPr="00012467">
        <w:rPr>
          <w:rFonts w:ascii="Inter" w:hAnsi="Inter" w:cstheme="minorHAnsi"/>
        </w:rPr>
        <w:t>we</w:t>
      </w:r>
      <w:r w:rsidRPr="00012467">
        <w:rPr>
          <w:rFonts w:ascii="Inter" w:hAnsi="Inter" w:cstheme="minorHAnsi"/>
        </w:rPr>
        <w:t xml:space="preserve"> should ask </w:t>
      </w:r>
      <w:r w:rsidR="009928AE" w:rsidRPr="00012467">
        <w:rPr>
          <w:rFonts w:ascii="Inter" w:hAnsi="Inter" w:cstheme="minorHAnsi"/>
        </w:rPr>
        <w:t>regarding</w:t>
      </w:r>
      <w:r w:rsidRPr="00012467">
        <w:rPr>
          <w:rFonts w:ascii="Inter" w:hAnsi="Inter" w:cstheme="minorHAnsi"/>
        </w:rPr>
        <w:t xml:space="preserve"> PEP Status</w:t>
      </w:r>
      <w:r w:rsidR="004F6384" w:rsidRPr="00012467">
        <w:rPr>
          <w:rFonts w:ascii="Inter" w:hAnsi="Inter" w:cstheme="minorHAnsi"/>
        </w:rPr>
        <w:t>:</w:t>
      </w:r>
    </w:p>
    <w:p w14:paraId="09F6C287" w14:textId="77777777" w:rsidR="0030684D" w:rsidRPr="00012467" w:rsidRDefault="0030684D" w:rsidP="0030684D">
      <w:pPr>
        <w:pStyle w:val="NoSpacing"/>
        <w:rPr>
          <w:rFonts w:ascii="Inter" w:hAnsi="Inter" w:cstheme="minorHAnsi"/>
        </w:rPr>
      </w:pPr>
    </w:p>
    <w:p w14:paraId="4B8FB332" w14:textId="77777777" w:rsidR="0030684D" w:rsidRPr="00012467" w:rsidRDefault="0030684D" w:rsidP="0030684D">
      <w:pPr>
        <w:pStyle w:val="NoSpacing"/>
        <w:rPr>
          <w:rFonts w:ascii="Inter" w:hAnsi="Inter" w:cstheme="minorHAnsi"/>
        </w:rPr>
      </w:pPr>
      <w:r w:rsidRPr="00012467">
        <w:rPr>
          <w:rFonts w:ascii="Inter" w:hAnsi="Inter" w:cstheme="minorHAnsi"/>
        </w:rPr>
        <w:t>• What role(s) does the individual hold?</w:t>
      </w:r>
    </w:p>
    <w:p w14:paraId="62DA6A64" w14:textId="77777777" w:rsidR="0030684D" w:rsidRPr="00012467" w:rsidRDefault="0030684D" w:rsidP="0030684D">
      <w:pPr>
        <w:pStyle w:val="NoSpacing"/>
        <w:rPr>
          <w:rFonts w:ascii="Inter" w:hAnsi="Inter" w:cstheme="minorHAnsi"/>
        </w:rPr>
      </w:pPr>
      <w:r w:rsidRPr="00012467">
        <w:rPr>
          <w:rFonts w:ascii="Inter" w:hAnsi="Inter" w:cstheme="minorHAnsi"/>
        </w:rPr>
        <w:t>• What is the nature and context of business relationship?</w:t>
      </w:r>
    </w:p>
    <w:p w14:paraId="70306760" w14:textId="77777777" w:rsidR="0030684D" w:rsidRPr="00012467" w:rsidRDefault="0030684D" w:rsidP="0030684D">
      <w:pPr>
        <w:pStyle w:val="NoSpacing"/>
        <w:rPr>
          <w:rFonts w:ascii="Inter" w:hAnsi="Inter" w:cstheme="minorHAnsi"/>
        </w:rPr>
      </w:pPr>
      <w:r w:rsidRPr="00012467">
        <w:rPr>
          <w:rFonts w:ascii="Inter" w:hAnsi="Inter" w:cstheme="minorHAnsi"/>
        </w:rPr>
        <w:t xml:space="preserve">• What services or products does the PEP wish to use? </w:t>
      </w:r>
    </w:p>
    <w:p w14:paraId="2DCC7D84" w14:textId="1771D3DA" w:rsidR="0030684D" w:rsidRPr="00012467" w:rsidRDefault="0030684D" w:rsidP="0030684D">
      <w:pPr>
        <w:pStyle w:val="NoSpacing"/>
        <w:rPr>
          <w:rFonts w:ascii="Inter" w:hAnsi="Inter" w:cstheme="minorHAnsi"/>
        </w:rPr>
      </w:pPr>
      <w:r w:rsidRPr="00012467">
        <w:rPr>
          <w:rFonts w:ascii="Inter" w:hAnsi="Inter" w:cstheme="minorHAnsi"/>
        </w:rPr>
        <w:t>• What is the potential for the product to be misused for the purposes of corruption?</w:t>
      </w:r>
    </w:p>
    <w:p w14:paraId="7DF6C899" w14:textId="0C4B5C55" w:rsidR="0030684D" w:rsidRPr="00012467" w:rsidRDefault="0030684D" w:rsidP="0030684D">
      <w:pPr>
        <w:pStyle w:val="NoSpacing"/>
        <w:rPr>
          <w:rFonts w:ascii="Inter" w:hAnsi="Inter" w:cstheme="minorHAnsi"/>
        </w:rPr>
      </w:pPr>
      <w:r w:rsidRPr="00012467">
        <w:rPr>
          <w:rFonts w:ascii="Inter" w:hAnsi="Inter" w:cstheme="minorHAnsi"/>
        </w:rPr>
        <w:t>• Do you know if they have close family members or known associates and if so, what roles do they hold?</w:t>
      </w:r>
    </w:p>
    <w:p w14:paraId="1A9ACB52" w14:textId="154141F3" w:rsidR="0030684D" w:rsidRPr="00012467" w:rsidRDefault="0030684D" w:rsidP="0030684D">
      <w:pPr>
        <w:pStyle w:val="NoSpacing"/>
        <w:rPr>
          <w:rFonts w:ascii="Inter" w:hAnsi="Inter" w:cstheme="minorHAnsi"/>
        </w:rPr>
      </w:pPr>
      <w:r w:rsidRPr="00012467">
        <w:rPr>
          <w:rFonts w:ascii="Inter" w:hAnsi="Inter" w:cstheme="minorHAnsi"/>
        </w:rPr>
        <w:t xml:space="preserve">• What level of public scrutiny, exposure, governance, </w:t>
      </w:r>
      <w:r w:rsidR="007A7DD2" w:rsidRPr="00012467">
        <w:rPr>
          <w:rFonts w:ascii="Inter" w:hAnsi="Inter" w:cstheme="minorHAnsi"/>
        </w:rPr>
        <w:t>disclosures,</w:t>
      </w:r>
      <w:r w:rsidRPr="00012467">
        <w:rPr>
          <w:rFonts w:ascii="Inter" w:hAnsi="Inter" w:cstheme="minorHAnsi"/>
        </w:rPr>
        <w:t xml:space="preserve"> or accountability in their role is the PEP subject to?</w:t>
      </w:r>
    </w:p>
    <w:p w14:paraId="3F76D00C" w14:textId="77777777" w:rsidR="0030684D" w:rsidRPr="00012467" w:rsidRDefault="0030684D" w:rsidP="0030684D">
      <w:pPr>
        <w:pStyle w:val="NoSpacing"/>
        <w:rPr>
          <w:rFonts w:ascii="Inter" w:hAnsi="Inter" w:cstheme="minorHAnsi"/>
        </w:rPr>
      </w:pPr>
      <w:r w:rsidRPr="00012467">
        <w:rPr>
          <w:rFonts w:ascii="Inter" w:hAnsi="Inter" w:cstheme="minorHAnsi"/>
        </w:rPr>
        <w:t>• Are their accompanying geographic risks associated with the PEP relationship?</w:t>
      </w:r>
    </w:p>
    <w:p w14:paraId="5665C566" w14:textId="635A291A" w:rsidR="0030684D" w:rsidRPr="00012467" w:rsidRDefault="0030684D" w:rsidP="0030684D">
      <w:pPr>
        <w:pStyle w:val="NoSpacing"/>
        <w:rPr>
          <w:rFonts w:ascii="Inter" w:hAnsi="Inter" w:cstheme="minorHAnsi"/>
        </w:rPr>
      </w:pPr>
      <w:r w:rsidRPr="00012467">
        <w:rPr>
          <w:rFonts w:ascii="Inter" w:hAnsi="Inter" w:cstheme="minorHAnsi"/>
        </w:rPr>
        <w:t>• If you have identified a PEP, were they helpful in providing this information and if not, should and how would this impact my assessment of the risk present?</w:t>
      </w:r>
    </w:p>
    <w:p w14:paraId="218AA9D7" w14:textId="766203DD" w:rsidR="0030684D" w:rsidRPr="00012467" w:rsidRDefault="0030684D" w:rsidP="0030684D">
      <w:pPr>
        <w:pStyle w:val="NoSpacing"/>
        <w:rPr>
          <w:rFonts w:ascii="Inter" w:hAnsi="Inter" w:cstheme="minorHAnsi"/>
        </w:rPr>
      </w:pPr>
      <w:r w:rsidRPr="00012467">
        <w:rPr>
          <w:rFonts w:ascii="Inter" w:hAnsi="Inter" w:cstheme="minorHAnsi"/>
        </w:rPr>
        <w:t>• Does the nature of their PEP status impact in the level of EDD that needs to be</w:t>
      </w:r>
      <w:r w:rsidR="009928AE" w:rsidRPr="00012467">
        <w:rPr>
          <w:rFonts w:ascii="Inter" w:hAnsi="Inter" w:cstheme="minorHAnsi"/>
        </w:rPr>
        <w:t xml:space="preserve"> </w:t>
      </w:r>
      <w:r w:rsidRPr="00012467">
        <w:rPr>
          <w:rFonts w:ascii="Inter" w:hAnsi="Inter" w:cstheme="minorHAnsi"/>
        </w:rPr>
        <w:t>applied, and if so, how?</w:t>
      </w:r>
    </w:p>
    <w:p w14:paraId="104DC4A0" w14:textId="127CDCF5" w:rsidR="00F85846" w:rsidRPr="00012467" w:rsidRDefault="00F85846" w:rsidP="00625F43">
      <w:pPr>
        <w:pStyle w:val="NoSpacing"/>
        <w:rPr>
          <w:rFonts w:ascii="Inter" w:hAnsi="Inter" w:cstheme="minorHAnsi"/>
          <w:i/>
          <w:iCs/>
          <w:color w:val="FF0000"/>
        </w:rPr>
      </w:pPr>
    </w:p>
    <w:p w14:paraId="5B356AA2" w14:textId="6635E860" w:rsidR="00F85846" w:rsidRPr="003B4C73" w:rsidRDefault="00F85846" w:rsidP="00625F43">
      <w:pPr>
        <w:pStyle w:val="NoSpacing"/>
        <w:rPr>
          <w:rFonts w:ascii="Inter" w:hAnsi="Inter" w:cstheme="minorHAnsi"/>
          <w:color w:val="7030A0"/>
        </w:rPr>
      </w:pPr>
      <w:r w:rsidRPr="003B4C73">
        <w:rPr>
          <w:rFonts w:ascii="Inter" w:hAnsi="Inter" w:cstheme="minorHAnsi"/>
          <w:color w:val="7030A0"/>
        </w:rPr>
        <w:t xml:space="preserve">Dependant on the size/nature of the Practice, a PEP register </w:t>
      </w:r>
      <w:r w:rsidR="000749A9" w:rsidRPr="003B4C73">
        <w:rPr>
          <w:rFonts w:ascii="Inter" w:hAnsi="Inter" w:cstheme="minorHAnsi"/>
          <w:color w:val="7030A0"/>
        </w:rPr>
        <w:t>should be considered, and regularly updated/reviewed.</w:t>
      </w:r>
      <w:r w:rsidRPr="003B4C73">
        <w:rPr>
          <w:rFonts w:ascii="Inter" w:hAnsi="Inter" w:cstheme="minorHAnsi"/>
          <w:color w:val="7030A0"/>
        </w:rPr>
        <w:t xml:space="preserve"> </w:t>
      </w:r>
    </w:p>
    <w:p w14:paraId="649604C7" w14:textId="6A423915" w:rsidR="000749A9" w:rsidRPr="00012467" w:rsidRDefault="000749A9" w:rsidP="00625F43">
      <w:pPr>
        <w:pStyle w:val="NoSpacing"/>
        <w:rPr>
          <w:rFonts w:ascii="Inter" w:hAnsi="Inter" w:cstheme="minorHAnsi"/>
          <w:i/>
          <w:iCs/>
          <w:color w:val="7030A0"/>
        </w:rPr>
      </w:pPr>
    </w:p>
    <w:p w14:paraId="18929096" w14:textId="77777777" w:rsidR="00F567A6" w:rsidRDefault="00F567A6">
      <w:pPr>
        <w:spacing w:after="160" w:line="259" w:lineRule="auto"/>
        <w:rPr>
          <w:rFonts w:ascii="Inter" w:eastAsiaTheme="majorEastAsia" w:hAnsi="Inter" w:cstheme="minorHAnsi"/>
          <w:bCs/>
          <w:color w:val="2F5496" w:themeColor="accent1" w:themeShade="BF"/>
          <w:sz w:val="32"/>
          <w:szCs w:val="32"/>
          <w:u w:val="single"/>
        </w:rPr>
      </w:pPr>
      <w:bookmarkStart w:id="22" w:name="_Toc126840573"/>
      <w:r>
        <w:rPr>
          <w:rFonts w:ascii="Inter" w:hAnsi="Inter" w:cstheme="minorHAnsi"/>
          <w:bCs/>
          <w:u w:val="single"/>
        </w:rPr>
        <w:br w:type="page"/>
      </w:r>
    </w:p>
    <w:p w14:paraId="50313CAF" w14:textId="0F9314D3" w:rsidR="000749A9" w:rsidRPr="00012467" w:rsidRDefault="000749A9" w:rsidP="000749A9">
      <w:pPr>
        <w:pStyle w:val="Heading1"/>
        <w:spacing w:before="0" w:line="240" w:lineRule="auto"/>
        <w:rPr>
          <w:rFonts w:ascii="Inter" w:hAnsi="Inter" w:cstheme="minorHAnsi"/>
          <w:bCs/>
          <w:sz w:val="18"/>
          <w:szCs w:val="18"/>
          <w:u w:val="single"/>
        </w:rPr>
      </w:pPr>
      <w:r w:rsidRPr="00012467">
        <w:rPr>
          <w:rFonts w:ascii="Inter" w:hAnsi="Inter" w:cstheme="minorHAnsi"/>
          <w:bCs/>
          <w:u w:val="single"/>
        </w:rPr>
        <w:lastRenderedPageBreak/>
        <w:t>Suspicious Activity Reporting</w:t>
      </w:r>
      <w:bookmarkEnd w:id="22"/>
      <w:r w:rsidRPr="00012467">
        <w:rPr>
          <w:rFonts w:ascii="Inter" w:hAnsi="Inter" w:cstheme="minorHAnsi"/>
          <w:bCs/>
          <w:u w:val="single"/>
        </w:rPr>
        <w:br/>
      </w:r>
    </w:p>
    <w:p w14:paraId="0BF1F6A5" w14:textId="77777777" w:rsidR="000749A9" w:rsidRPr="00012467" w:rsidRDefault="000749A9" w:rsidP="000749A9">
      <w:pPr>
        <w:spacing w:after="0" w:line="240" w:lineRule="auto"/>
        <w:rPr>
          <w:rFonts w:ascii="Inter" w:hAnsi="Inter" w:cstheme="minorHAnsi"/>
          <w:b/>
          <w:bCs/>
        </w:rPr>
      </w:pPr>
      <w:r w:rsidRPr="00012467">
        <w:rPr>
          <w:rFonts w:ascii="Inter" w:hAnsi="Inter" w:cstheme="minorHAnsi"/>
          <w:b/>
          <w:bCs/>
        </w:rPr>
        <w:t>LSAG Guidance Section 11.</w:t>
      </w:r>
    </w:p>
    <w:p w14:paraId="5C8FCF16" w14:textId="77777777" w:rsidR="000749A9" w:rsidRPr="00012467" w:rsidRDefault="000749A9" w:rsidP="000749A9">
      <w:pPr>
        <w:spacing w:after="0" w:line="240" w:lineRule="auto"/>
        <w:rPr>
          <w:rFonts w:ascii="Inter" w:hAnsi="Inter" w:cstheme="minorHAnsi"/>
          <w:i/>
          <w:iCs/>
          <w:color w:val="7030A0"/>
        </w:rPr>
      </w:pPr>
    </w:p>
    <w:p w14:paraId="14087335" w14:textId="77777777" w:rsidR="000749A9" w:rsidRPr="003F7E44" w:rsidRDefault="000749A9" w:rsidP="000749A9">
      <w:pPr>
        <w:spacing w:after="0" w:line="240" w:lineRule="auto"/>
        <w:rPr>
          <w:rFonts w:ascii="Inter" w:hAnsi="Inter" w:cstheme="minorHAnsi"/>
          <w:color w:val="7030A0"/>
        </w:rPr>
      </w:pPr>
      <w:r w:rsidRPr="003F7E44">
        <w:rPr>
          <w:rFonts w:ascii="Inter" w:hAnsi="Inter" w:cstheme="minorHAnsi"/>
          <w:color w:val="7030A0"/>
        </w:rPr>
        <w:t>Within this section your PCPs must cover all your practices approach to how and when an internal SAR should be submitted to your MLRO.</w:t>
      </w:r>
    </w:p>
    <w:p w14:paraId="23388788" w14:textId="77777777" w:rsidR="000749A9" w:rsidRPr="003F7E44" w:rsidRDefault="000749A9" w:rsidP="000749A9">
      <w:pPr>
        <w:spacing w:after="0" w:line="240" w:lineRule="auto"/>
        <w:rPr>
          <w:rFonts w:ascii="Inter" w:hAnsi="Inter" w:cstheme="minorHAnsi"/>
          <w:color w:val="7030A0"/>
        </w:rPr>
      </w:pPr>
    </w:p>
    <w:p w14:paraId="4AB426A0" w14:textId="00E7C221" w:rsidR="000749A9" w:rsidRPr="003F7E44" w:rsidRDefault="00CE7BCF" w:rsidP="000749A9">
      <w:pPr>
        <w:spacing w:after="0" w:line="240" w:lineRule="auto"/>
        <w:rPr>
          <w:rFonts w:ascii="Inter" w:hAnsi="Inter" w:cstheme="minorHAnsi"/>
          <w:color w:val="7030A0"/>
        </w:rPr>
      </w:pPr>
      <w:r w:rsidRPr="003F7E44">
        <w:rPr>
          <w:rFonts w:ascii="Inter" w:hAnsi="Inter" w:cstheme="minorHAnsi"/>
          <w:color w:val="7030A0"/>
        </w:rPr>
        <w:t>Y</w:t>
      </w:r>
      <w:r w:rsidR="000749A9" w:rsidRPr="003F7E44">
        <w:rPr>
          <w:rFonts w:ascii="Inter" w:hAnsi="Inter" w:cstheme="minorHAnsi"/>
          <w:color w:val="7030A0"/>
        </w:rPr>
        <w:t xml:space="preserve">ou should also outline whether your practice has a template for reporting suspicions to the MLRO. Information on what should be included can be found within LSAG guidance 11.9.  </w:t>
      </w:r>
    </w:p>
    <w:p w14:paraId="7C3AA721" w14:textId="77777777" w:rsidR="000749A9" w:rsidRPr="003F7E44" w:rsidRDefault="000749A9" w:rsidP="000749A9">
      <w:pPr>
        <w:spacing w:after="0" w:line="240" w:lineRule="auto"/>
        <w:rPr>
          <w:rFonts w:ascii="Inter" w:hAnsi="Inter" w:cstheme="minorHAnsi"/>
          <w:color w:val="7030A0"/>
        </w:rPr>
      </w:pPr>
    </w:p>
    <w:p w14:paraId="712AA97A" w14:textId="77777777" w:rsidR="000749A9" w:rsidRPr="003F7E44" w:rsidRDefault="000749A9" w:rsidP="000749A9">
      <w:pPr>
        <w:spacing w:after="0" w:line="240" w:lineRule="auto"/>
        <w:rPr>
          <w:rFonts w:ascii="Inter" w:hAnsi="Inter" w:cstheme="minorHAnsi"/>
          <w:color w:val="7030A0"/>
        </w:rPr>
      </w:pPr>
      <w:r w:rsidRPr="003F7E44">
        <w:rPr>
          <w:rFonts w:ascii="Inter" w:hAnsi="Inter" w:cstheme="minorHAnsi"/>
          <w:color w:val="7030A0"/>
        </w:rPr>
        <w:t xml:space="preserve">Further assistance can also be found on the Law Society of Scotland’s website: </w:t>
      </w:r>
      <w:hyperlink r:id="rId21" w:history="1">
        <w:r w:rsidRPr="003F7E44">
          <w:rPr>
            <w:rStyle w:val="Hyperlink"/>
            <w:rFonts w:ascii="Inter" w:hAnsi="Inter"/>
          </w:rPr>
          <w:t>Suspicious Activity Reports | Law Society of Scotland (lawscot.org.uk)</w:t>
        </w:r>
      </w:hyperlink>
      <w:r w:rsidRPr="003F7E44">
        <w:rPr>
          <w:rFonts w:ascii="Inter" w:hAnsi="Inter"/>
        </w:rPr>
        <w:t xml:space="preserve"> </w:t>
      </w:r>
      <w:r w:rsidRPr="003F7E44">
        <w:rPr>
          <w:rFonts w:ascii="Inter" w:hAnsi="Inter"/>
          <w:color w:val="7030A0"/>
        </w:rPr>
        <w:t xml:space="preserve">and </w:t>
      </w:r>
      <w:hyperlink r:id="rId22" w:history="1">
        <w:r w:rsidRPr="003F7E44">
          <w:rPr>
            <w:rStyle w:val="Hyperlink"/>
            <w:rFonts w:ascii="Inter" w:hAnsi="Inter"/>
          </w:rPr>
          <w:t>introduction-to-sars-v10.pdf (lawscot.org.uk)</w:t>
        </w:r>
      </w:hyperlink>
      <w:r w:rsidRPr="003F7E44">
        <w:rPr>
          <w:rFonts w:ascii="Inter" w:hAnsi="Inter"/>
        </w:rPr>
        <w:t>.</w:t>
      </w:r>
    </w:p>
    <w:p w14:paraId="0CB49D57" w14:textId="77777777" w:rsidR="000749A9" w:rsidRPr="00012467" w:rsidRDefault="000749A9" w:rsidP="000749A9">
      <w:pPr>
        <w:spacing w:after="0" w:line="240" w:lineRule="auto"/>
        <w:rPr>
          <w:rFonts w:ascii="Inter" w:hAnsi="Inter" w:cstheme="minorHAnsi"/>
        </w:rPr>
      </w:pPr>
    </w:p>
    <w:p w14:paraId="0804DB5D" w14:textId="77777777" w:rsidR="000749A9" w:rsidRPr="00012467" w:rsidRDefault="000749A9" w:rsidP="000749A9">
      <w:pPr>
        <w:spacing w:after="0" w:line="240" w:lineRule="auto"/>
        <w:rPr>
          <w:rFonts w:ascii="Inter" w:hAnsi="Inter" w:cstheme="minorHAnsi"/>
        </w:rPr>
      </w:pPr>
      <w:r w:rsidRPr="00012467">
        <w:rPr>
          <w:rFonts w:ascii="Inter" w:hAnsi="Inter" w:cstheme="minorHAnsi"/>
        </w:rPr>
        <w:t xml:space="preserve">All persons within the regulated sector have obligations under POCA 2002 and TACT 2000 to make disclosures of suspicions of money laundering and terrorist financing and terrorist property offences. MLRO’s have specific additional obligations. Any individual working within the regulated sector must make an internal disclosure to their MLRO if they know or suspect to have reason to know or suspect money laundering or terrorist financing is taking place. </w:t>
      </w:r>
    </w:p>
    <w:p w14:paraId="3D604093" w14:textId="77777777" w:rsidR="000749A9" w:rsidRPr="00012467" w:rsidRDefault="000749A9" w:rsidP="000749A9">
      <w:pPr>
        <w:spacing w:after="0" w:line="240" w:lineRule="auto"/>
        <w:rPr>
          <w:rFonts w:ascii="Inter" w:hAnsi="Inter" w:cstheme="minorHAnsi"/>
        </w:rPr>
      </w:pPr>
    </w:p>
    <w:p w14:paraId="309A0D50" w14:textId="77777777" w:rsidR="000749A9" w:rsidRPr="00012467" w:rsidRDefault="000749A9" w:rsidP="000749A9">
      <w:pPr>
        <w:spacing w:after="0" w:line="240" w:lineRule="auto"/>
        <w:rPr>
          <w:rFonts w:ascii="Inter" w:hAnsi="Inter" w:cstheme="minorHAnsi"/>
        </w:rPr>
      </w:pPr>
      <w:r w:rsidRPr="00012467">
        <w:rPr>
          <w:rFonts w:ascii="Inter" w:hAnsi="Inter" w:cstheme="minorHAnsi"/>
        </w:rPr>
        <w:t xml:space="preserve">An internal SAR </w:t>
      </w:r>
      <w:r w:rsidRPr="00012467">
        <w:rPr>
          <w:rFonts w:ascii="Inter" w:hAnsi="Inter" w:cstheme="minorHAnsi"/>
          <w:b/>
          <w:bCs/>
        </w:rPr>
        <w:t>must</w:t>
      </w:r>
      <w:r w:rsidRPr="00012467">
        <w:rPr>
          <w:rFonts w:ascii="Inter" w:hAnsi="Inter" w:cstheme="minorHAnsi"/>
        </w:rPr>
        <w:t xml:space="preserve"> be submitted to the MLRO:</w:t>
      </w:r>
    </w:p>
    <w:p w14:paraId="20FD7B99" w14:textId="77777777" w:rsidR="000749A9" w:rsidRPr="00012467" w:rsidRDefault="000749A9" w:rsidP="000749A9">
      <w:pPr>
        <w:spacing w:after="0" w:line="240" w:lineRule="auto"/>
        <w:rPr>
          <w:rFonts w:ascii="Inter" w:hAnsi="Inter" w:cstheme="minorHAnsi"/>
        </w:rPr>
      </w:pPr>
    </w:p>
    <w:p w14:paraId="377B65A3" w14:textId="77777777" w:rsidR="000749A9" w:rsidRPr="00012467" w:rsidRDefault="000749A9" w:rsidP="004A06CE">
      <w:pPr>
        <w:pStyle w:val="ListParagraph"/>
        <w:numPr>
          <w:ilvl w:val="0"/>
          <w:numId w:val="11"/>
        </w:numPr>
        <w:spacing w:after="0" w:line="240" w:lineRule="auto"/>
        <w:rPr>
          <w:rFonts w:ascii="Inter" w:hAnsi="Inter" w:cstheme="minorHAnsi"/>
        </w:rPr>
      </w:pPr>
      <w:r w:rsidRPr="00012467">
        <w:rPr>
          <w:rFonts w:ascii="Inter" w:hAnsi="Inter" w:cstheme="minorHAnsi"/>
        </w:rPr>
        <w:t>If you know, suspect or have reasonable grounds for knowing or suspecting money laundering or terrorist financing where that information has come to you from work in the regulated sector (subject to privilege)</w:t>
      </w:r>
    </w:p>
    <w:p w14:paraId="13F6FBE1" w14:textId="77777777" w:rsidR="000749A9" w:rsidRPr="00012467" w:rsidRDefault="000749A9" w:rsidP="004A06CE">
      <w:pPr>
        <w:pStyle w:val="ListParagraph"/>
        <w:numPr>
          <w:ilvl w:val="0"/>
          <w:numId w:val="11"/>
        </w:numPr>
        <w:spacing w:after="0" w:line="240" w:lineRule="auto"/>
        <w:rPr>
          <w:rFonts w:ascii="Inter" w:hAnsi="Inter" w:cstheme="minorHAnsi"/>
        </w:rPr>
      </w:pPr>
      <w:r w:rsidRPr="00012467">
        <w:rPr>
          <w:rFonts w:ascii="Inter" w:hAnsi="Inter" w:cstheme="minorHAnsi"/>
        </w:rPr>
        <w:t>If you are proposing to engage in a prohibited act under sections 327 to 329 of POCA and require a defence against money laundering.</w:t>
      </w:r>
    </w:p>
    <w:p w14:paraId="05299C2B" w14:textId="77777777" w:rsidR="000749A9" w:rsidRPr="00012467" w:rsidRDefault="000749A9" w:rsidP="000749A9">
      <w:pPr>
        <w:pStyle w:val="ListParagraph"/>
        <w:spacing w:after="0" w:line="240" w:lineRule="auto"/>
        <w:rPr>
          <w:rFonts w:ascii="Inter" w:hAnsi="Inter" w:cstheme="minorHAnsi"/>
        </w:rPr>
      </w:pPr>
    </w:p>
    <w:p w14:paraId="2858BE4B" w14:textId="77777777" w:rsidR="000749A9" w:rsidRPr="00012467" w:rsidRDefault="000749A9" w:rsidP="000749A9">
      <w:pPr>
        <w:pStyle w:val="NoSpacing"/>
        <w:rPr>
          <w:rFonts w:ascii="Inter" w:hAnsi="Inter" w:cstheme="minorHAnsi"/>
        </w:rPr>
      </w:pPr>
      <w:r w:rsidRPr="00012467">
        <w:rPr>
          <w:rFonts w:ascii="Inter" w:hAnsi="Inter" w:cstheme="minorHAnsi"/>
        </w:rPr>
        <w:t xml:space="preserve">This internal SAR must be submitted to your MLRO as soon as is practical after you have formed this knowledge or suspicion. </w:t>
      </w:r>
    </w:p>
    <w:p w14:paraId="6F88FE36" w14:textId="77777777" w:rsidR="000749A9" w:rsidRPr="00012467" w:rsidRDefault="000749A9" w:rsidP="000749A9">
      <w:pPr>
        <w:pStyle w:val="NoSpacing"/>
        <w:rPr>
          <w:rFonts w:ascii="Inter" w:hAnsi="Inter" w:cstheme="minorHAnsi"/>
        </w:rPr>
      </w:pPr>
    </w:p>
    <w:p w14:paraId="758D5BF1" w14:textId="77777777" w:rsidR="000749A9" w:rsidRPr="00012467" w:rsidRDefault="000749A9" w:rsidP="000749A9">
      <w:pPr>
        <w:pStyle w:val="NoSpacing"/>
        <w:rPr>
          <w:rFonts w:ascii="Inter" w:hAnsi="Inter" w:cstheme="minorHAnsi"/>
        </w:rPr>
      </w:pPr>
      <w:r w:rsidRPr="00012467">
        <w:rPr>
          <w:rFonts w:ascii="Inter" w:hAnsi="Inter" w:cstheme="minorHAnsi"/>
        </w:rPr>
        <w:t xml:space="preserve">Failure to report your suspicions may result in a criminal offence being committed by the colleague involved. </w:t>
      </w:r>
    </w:p>
    <w:p w14:paraId="4B0D3658" w14:textId="77777777" w:rsidR="000749A9" w:rsidRPr="00012467" w:rsidRDefault="000749A9" w:rsidP="000749A9">
      <w:pPr>
        <w:pStyle w:val="NoSpacing"/>
        <w:rPr>
          <w:rFonts w:ascii="Inter" w:hAnsi="Inter" w:cstheme="minorHAnsi"/>
        </w:rPr>
      </w:pPr>
    </w:p>
    <w:p w14:paraId="54EAA94E" w14:textId="1BE65B6F" w:rsidR="000749A9" w:rsidRPr="00012467" w:rsidRDefault="000749A9" w:rsidP="000749A9">
      <w:pPr>
        <w:pStyle w:val="NoSpacing"/>
        <w:rPr>
          <w:rFonts w:ascii="Inter" w:hAnsi="Inter" w:cstheme="minorHAnsi"/>
        </w:rPr>
      </w:pPr>
      <w:r w:rsidRPr="00012467">
        <w:rPr>
          <w:rFonts w:ascii="Inter" w:hAnsi="Inter" w:cstheme="minorHAnsi"/>
        </w:rPr>
        <w:t xml:space="preserve">Should the MLRO decide not to submit a SAR to the NCA, the MLRO </w:t>
      </w:r>
      <w:r w:rsidR="0020157D" w:rsidRPr="00012467">
        <w:rPr>
          <w:rFonts w:ascii="Inter" w:hAnsi="Inter" w:cstheme="minorHAnsi"/>
        </w:rPr>
        <w:t>will</w:t>
      </w:r>
      <w:r w:rsidRPr="00012467">
        <w:rPr>
          <w:rFonts w:ascii="Inter" w:hAnsi="Inter" w:cstheme="minorHAnsi"/>
        </w:rPr>
        <w:t xml:space="preserve"> ensure that the reason for this is documented and recorded</w:t>
      </w:r>
      <w:r w:rsidR="0020157D" w:rsidRPr="00012467">
        <w:rPr>
          <w:rFonts w:ascii="Inter" w:hAnsi="Inter" w:cstheme="minorHAnsi"/>
        </w:rPr>
        <w:t xml:space="preserve"> appropriately</w:t>
      </w:r>
      <w:r w:rsidRPr="00012467">
        <w:rPr>
          <w:rFonts w:ascii="Inter" w:hAnsi="Inter" w:cstheme="minorHAnsi"/>
        </w:rPr>
        <w:t xml:space="preserve">. </w:t>
      </w:r>
    </w:p>
    <w:p w14:paraId="496DFF49" w14:textId="77777777" w:rsidR="000749A9" w:rsidRPr="00012467" w:rsidRDefault="000749A9" w:rsidP="000749A9">
      <w:pPr>
        <w:pStyle w:val="Heading2"/>
        <w:spacing w:before="0" w:line="240" w:lineRule="auto"/>
        <w:rPr>
          <w:rFonts w:ascii="Inter" w:hAnsi="Inter"/>
        </w:rPr>
      </w:pPr>
    </w:p>
    <w:p w14:paraId="1BE76738" w14:textId="77777777" w:rsidR="000749A9" w:rsidRPr="00012467" w:rsidRDefault="000749A9" w:rsidP="000749A9">
      <w:pPr>
        <w:pStyle w:val="Heading2"/>
        <w:rPr>
          <w:rFonts w:ascii="Inter" w:hAnsi="Inter" w:cstheme="majorHAnsi"/>
          <w:sz w:val="18"/>
          <w:szCs w:val="18"/>
          <w:u w:val="single"/>
        </w:rPr>
      </w:pPr>
      <w:bookmarkStart w:id="23" w:name="_Toc126840574"/>
      <w:r w:rsidRPr="00012467">
        <w:rPr>
          <w:rFonts w:ascii="Inter" w:hAnsi="Inter" w:cstheme="majorHAnsi"/>
          <w:sz w:val="24"/>
          <w:szCs w:val="24"/>
          <w:u w:val="single"/>
        </w:rPr>
        <w:t>Seeking consent/Defence against Money Laundering</w:t>
      </w:r>
      <w:bookmarkEnd w:id="23"/>
      <w:r w:rsidRPr="00012467">
        <w:rPr>
          <w:rFonts w:ascii="Inter" w:hAnsi="Inter" w:cstheme="majorHAnsi"/>
          <w:sz w:val="24"/>
          <w:szCs w:val="24"/>
          <w:u w:val="single"/>
        </w:rPr>
        <w:br/>
      </w:r>
    </w:p>
    <w:p w14:paraId="176F7EB4" w14:textId="77777777" w:rsidR="000749A9" w:rsidRPr="00012467" w:rsidRDefault="000749A9" w:rsidP="000749A9">
      <w:pPr>
        <w:spacing w:after="0" w:line="240" w:lineRule="auto"/>
        <w:rPr>
          <w:rFonts w:ascii="Inter" w:hAnsi="Inter"/>
          <w:b/>
          <w:bCs/>
        </w:rPr>
      </w:pPr>
      <w:r w:rsidRPr="00012467">
        <w:rPr>
          <w:rFonts w:ascii="Inter" w:hAnsi="Inter"/>
          <w:b/>
          <w:bCs/>
        </w:rPr>
        <w:t xml:space="preserve">LSAG guidance 11.10 </w:t>
      </w:r>
    </w:p>
    <w:p w14:paraId="2B5C6B13" w14:textId="77777777" w:rsidR="000749A9" w:rsidRPr="00012467" w:rsidRDefault="000749A9" w:rsidP="000749A9">
      <w:pPr>
        <w:pStyle w:val="NoSpacing"/>
        <w:rPr>
          <w:rFonts w:ascii="Inter" w:hAnsi="Inter" w:cstheme="minorHAnsi"/>
        </w:rPr>
      </w:pPr>
    </w:p>
    <w:p w14:paraId="13848DC6" w14:textId="77777777" w:rsidR="000749A9" w:rsidRPr="00012467" w:rsidRDefault="000749A9" w:rsidP="000749A9">
      <w:pPr>
        <w:pStyle w:val="NoSpacing"/>
        <w:rPr>
          <w:rFonts w:ascii="Inter" w:hAnsi="Inter" w:cstheme="minorHAnsi"/>
        </w:rPr>
      </w:pPr>
      <w:r w:rsidRPr="00012467">
        <w:rPr>
          <w:rFonts w:ascii="Inter" w:hAnsi="Inter" w:cstheme="minorHAnsi"/>
        </w:rPr>
        <w:t xml:space="preserve">The NCA can also provide a defence against Money Laundering (DAML), commonly known as consent. </w:t>
      </w:r>
    </w:p>
    <w:p w14:paraId="5F3F9E8C" w14:textId="77777777" w:rsidR="000749A9" w:rsidRPr="00012467" w:rsidRDefault="000749A9" w:rsidP="000749A9">
      <w:pPr>
        <w:pStyle w:val="NoSpacing"/>
        <w:rPr>
          <w:rFonts w:ascii="Inter" w:hAnsi="Inter" w:cstheme="minorHAnsi"/>
        </w:rPr>
      </w:pPr>
    </w:p>
    <w:p w14:paraId="26B254DA" w14:textId="77777777" w:rsidR="000749A9" w:rsidRPr="00012467" w:rsidRDefault="000749A9" w:rsidP="000749A9">
      <w:pPr>
        <w:pStyle w:val="NoSpacing"/>
        <w:rPr>
          <w:rFonts w:ascii="Inter" w:hAnsi="Inter" w:cstheme="minorHAnsi"/>
        </w:rPr>
      </w:pPr>
      <w:r w:rsidRPr="00012467">
        <w:rPr>
          <w:rFonts w:ascii="Inter" w:hAnsi="Inter" w:cstheme="minorHAnsi"/>
        </w:rPr>
        <w:t xml:space="preserve">If the MLRO is seeking consent, it is important to specify whether you are seeking it for yourself, </w:t>
      </w:r>
    </w:p>
    <w:p w14:paraId="226DE991" w14:textId="77777777" w:rsidR="000749A9" w:rsidRPr="00012467" w:rsidRDefault="000749A9" w:rsidP="000749A9">
      <w:pPr>
        <w:pStyle w:val="NoSpacing"/>
        <w:rPr>
          <w:rFonts w:ascii="Inter" w:hAnsi="Inter" w:cstheme="minorHAnsi"/>
        </w:rPr>
      </w:pPr>
      <w:r w:rsidRPr="00012467">
        <w:rPr>
          <w:rFonts w:ascii="Inter" w:hAnsi="Inter" w:cstheme="minorHAnsi"/>
        </w:rPr>
        <w:t xml:space="preserve">for your client, or both. The request should make clear who is seeking consent for each </w:t>
      </w:r>
    </w:p>
    <w:p w14:paraId="6DA62641" w14:textId="77777777" w:rsidR="000749A9" w:rsidRPr="00012467" w:rsidRDefault="000749A9" w:rsidP="000749A9">
      <w:pPr>
        <w:pStyle w:val="NoSpacing"/>
        <w:rPr>
          <w:rFonts w:ascii="Inter" w:hAnsi="Inter" w:cstheme="minorHAnsi"/>
        </w:rPr>
      </w:pPr>
      <w:r w:rsidRPr="00012467">
        <w:rPr>
          <w:rFonts w:ascii="Inter" w:hAnsi="Inter" w:cstheme="minorHAnsi"/>
        </w:rPr>
        <w:t>prohibited act.</w:t>
      </w:r>
    </w:p>
    <w:p w14:paraId="1A168FDD" w14:textId="77777777" w:rsidR="000749A9" w:rsidRPr="00012467" w:rsidRDefault="000749A9" w:rsidP="000749A9">
      <w:pPr>
        <w:pStyle w:val="NoSpacing"/>
        <w:rPr>
          <w:rFonts w:ascii="Inter" w:hAnsi="Inter" w:cstheme="minorHAnsi"/>
        </w:rPr>
      </w:pPr>
    </w:p>
    <w:p w14:paraId="6E99DBB0" w14:textId="77777777" w:rsidR="000749A9" w:rsidRPr="00012467" w:rsidRDefault="000749A9" w:rsidP="000749A9">
      <w:pPr>
        <w:pStyle w:val="NoSpacing"/>
        <w:rPr>
          <w:rFonts w:ascii="Inter" w:hAnsi="Inter" w:cstheme="minorHAnsi"/>
          <w:color w:val="7030A0"/>
        </w:rPr>
      </w:pPr>
      <w:r w:rsidRPr="00012467">
        <w:rPr>
          <w:rFonts w:ascii="Inter" w:hAnsi="Inter" w:cstheme="minorHAnsi"/>
          <w:color w:val="7030A0"/>
        </w:rPr>
        <w:t xml:space="preserve">Please see LSAG guidance 11.10.1 and 11.10.2 for further information and assistance on DAML. </w:t>
      </w:r>
    </w:p>
    <w:p w14:paraId="1F7B9386" w14:textId="77777777" w:rsidR="000749A9" w:rsidRPr="00012467" w:rsidRDefault="000749A9" w:rsidP="000749A9">
      <w:pPr>
        <w:pStyle w:val="Heading2"/>
        <w:rPr>
          <w:rFonts w:ascii="Inter" w:hAnsi="Inter" w:cstheme="majorHAnsi"/>
          <w:sz w:val="18"/>
          <w:szCs w:val="18"/>
          <w:u w:val="single"/>
        </w:rPr>
      </w:pPr>
      <w:bookmarkStart w:id="24" w:name="_Toc126840575"/>
      <w:r w:rsidRPr="00012467">
        <w:rPr>
          <w:rFonts w:ascii="Inter" w:hAnsi="Inter" w:cstheme="majorHAnsi"/>
          <w:sz w:val="24"/>
          <w:szCs w:val="24"/>
          <w:u w:val="single"/>
        </w:rPr>
        <w:t>Tipping off</w:t>
      </w:r>
      <w:bookmarkEnd w:id="24"/>
      <w:r w:rsidRPr="00012467">
        <w:rPr>
          <w:rFonts w:ascii="Inter" w:hAnsi="Inter" w:cstheme="majorHAnsi"/>
          <w:sz w:val="24"/>
          <w:szCs w:val="24"/>
          <w:u w:val="single"/>
        </w:rPr>
        <w:br/>
      </w:r>
    </w:p>
    <w:p w14:paraId="62D74974" w14:textId="77777777" w:rsidR="000749A9" w:rsidRPr="00012467" w:rsidRDefault="000749A9" w:rsidP="000749A9">
      <w:pPr>
        <w:pStyle w:val="NoSpacing"/>
        <w:rPr>
          <w:rFonts w:ascii="Inter" w:hAnsi="Inter"/>
          <w:b/>
          <w:bCs/>
        </w:rPr>
      </w:pPr>
      <w:r w:rsidRPr="00012467">
        <w:rPr>
          <w:rFonts w:ascii="Inter" w:hAnsi="Inter"/>
          <w:b/>
          <w:bCs/>
        </w:rPr>
        <w:t>LSAG guidance 11.11 and 16.8</w:t>
      </w:r>
    </w:p>
    <w:p w14:paraId="7829D5CE" w14:textId="77777777" w:rsidR="000749A9" w:rsidRPr="00012467" w:rsidRDefault="000749A9" w:rsidP="000749A9">
      <w:pPr>
        <w:pStyle w:val="NoSpacing"/>
        <w:rPr>
          <w:rFonts w:ascii="Inter" w:hAnsi="Inter"/>
        </w:rPr>
      </w:pPr>
    </w:p>
    <w:p w14:paraId="77FC4AE6" w14:textId="77777777" w:rsidR="000749A9" w:rsidRPr="00012467" w:rsidRDefault="000749A9" w:rsidP="000749A9">
      <w:pPr>
        <w:pStyle w:val="NoSpacing"/>
        <w:rPr>
          <w:rFonts w:ascii="Inter" w:hAnsi="Inter"/>
        </w:rPr>
      </w:pPr>
      <w:r w:rsidRPr="00012467">
        <w:rPr>
          <w:rFonts w:ascii="Inter" w:hAnsi="Inter"/>
        </w:rPr>
        <w:t xml:space="preserve">You must not say anything about an internal disclosure or SAR which could prejudice an investigation. If you do so, you could be guilty of an offence under POCA s333A or TACT s39, punishable with up to two years imprisonment. </w:t>
      </w:r>
    </w:p>
    <w:p w14:paraId="24D25E8E" w14:textId="77777777" w:rsidR="000749A9" w:rsidRPr="00012467" w:rsidRDefault="000749A9" w:rsidP="000749A9">
      <w:pPr>
        <w:pStyle w:val="NoSpacing"/>
        <w:rPr>
          <w:rFonts w:ascii="Inter" w:hAnsi="Inter"/>
        </w:rPr>
      </w:pPr>
    </w:p>
    <w:p w14:paraId="358230F3" w14:textId="77777777" w:rsidR="000749A9" w:rsidRPr="00012467" w:rsidRDefault="000749A9" w:rsidP="000749A9">
      <w:pPr>
        <w:pStyle w:val="NoSpacing"/>
        <w:rPr>
          <w:rFonts w:ascii="Inter" w:hAnsi="Inter"/>
        </w:rPr>
      </w:pPr>
      <w:r w:rsidRPr="00012467">
        <w:rPr>
          <w:rFonts w:ascii="Inter" w:hAnsi="Inter"/>
        </w:rPr>
        <w:t xml:space="preserve">It is an offence to disclose the fact that an investigation into a possible money laundering offence is being considered or carried our id that disclosure is likely to prejudice that investigation. </w:t>
      </w:r>
    </w:p>
    <w:p w14:paraId="5E9C9911" w14:textId="77777777" w:rsidR="000749A9" w:rsidRPr="00012467" w:rsidRDefault="000749A9" w:rsidP="000749A9">
      <w:pPr>
        <w:spacing w:after="0" w:line="240" w:lineRule="auto"/>
        <w:rPr>
          <w:rFonts w:ascii="Inter" w:hAnsi="Inter"/>
        </w:rPr>
      </w:pPr>
    </w:p>
    <w:p w14:paraId="6D64C366" w14:textId="36DAA1A0" w:rsidR="00B37885" w:rsidRPr="00012467" w:rsidRDefault="00AF7125" w:rsidP="00AC5243">
      <w:pPr>
        <w:pStyle w:val="Heading1"/>
        <w:rPr>
          <w:rFonts w:ascii="Inter" w:hAnsi="Inter" w:cstheme="minorHAnsi"/>
          <w:sz w:val="18"/>
          <w:szCs w:val="18"/>
          <w:u w:val="single"/>
        </w:rPr>
      </w:pPr>
      <w:bookmarkStart w:id="25" w:name="_Toc126840576"/>
      <w:r w:rsidRPr="00012467">
        <w:rPr>
          <w:rFonts w:ascii="Inter" w:hAnsi="Inter" w:cstheme="minorHAnsi"/>
          <w:u w:val="single"/>
        </w:rPr>
        <w:t>T</w:t>
      </w:r>
      <w:r w:rsidR="00F2100D" w:rsidRPr="00012467">
        <w:rPr>
          <w:rFonts w:ascii="Inter" w:hAnsi="Inter" w:cstheme="minorHAnsi"/>
          <w:u w:val="single"/>
        </w:rPr>
        <w:t>echnology</w:t>
      </w:r>
      <w:bookmarkEnd w:id="25"/>
      <w:r w:rsidR="00CA74CA" w:rsidRPr="00012467">
        <w:rPr>
          <w:rFonts w:ascii="Inter" w:hAnsi="Inter" w:cstheme="minorHAnsi"/>
          <w:u w:val="single"/>
        </w:rPr>
        <w:t xml:space="preserve"> </w:t>
      </w:r>
      <w:r w:rsidR="00AC5243" w:rsidRPr="00012467">
        <w:rPr>
          <w:rFonts w:ascii="Inter" w:hAnsi="Inter" w:cstheme="minorHAnsi"/>
          <w:u w:val="single"/>
        </w:rPr>
        <w:br/>
      </w:r>
    </w:p>
    <w:p w14:paraId="039D8303" w14:textId="36D4D0D6" w:rsidR="008C44AA" w:rsidRPr="00012467" w:rsidRDefault="008C44AA" w:rsidP="00F65226">
      <w:pPr>
        <w:spacing w:after="0" w:line="240" w:lineRule="auto"/>
        <w:rPr>
          <w:rFonts w:ascii="Inter" w:hAnsi="Inter" w:cstheme="minorHAnsi"/>
          <w:b/>
          <w:bCs/>
        </w:rPr>
      </w:pPr>
      <w:r w:rsidRPr="00012467">
        <w:rPr>
          <w:rFonts w:ascii="Inter" w:hAnsi="Inter" w:cstheme="minorHAnsi"/>
          <w:b/>
          <w:bCs/>
        </w:rPr>
        <w:t>LSAG guidance Section 7</w:t>
      </w:r>
    </w:p>
    <w:p w14:paraId="1D5C7238" w14:textId="77777777" w:rsidR="003A68F2" w:rsidRPr="00012467" w:rsidRDefault="003A68F2" w:rsidP="00F65226">
      <w:pPr>
        <w:spacing w:after="0" w:line="240" w:lineRule="auto"/>
        <w:rPr>
          <w:rFonts w:ascii="Inter" w:hAnsi="Inter" w:cstheme="minorHAnsi"/>
        </w:rPr>
      </w:pPr>
    </w:p>
    <w:p w14:paraId="7741023F" w14:textId="4B174310" w:rsidR="00C514B7" w:rsidRPr="00012467" w:rsidRDefault="00C514B7">
      <w:pPr>
        <w:spacing w:after="0" w:line="240" w:lineRule="auto"/>
        <w:rPr>
          <w:rFonts w:ascii="Inter" w:hAnsi="Inter" w:cstheme="minorHAnsi"/>
          <w:color w:val="7030A0"/>
        </w:rPr>
      </w:pPr>
      <w:r w:rsidRPr="00012467">
        <w:rPr>
          <w:rFonts w:ascii="Inter" w:hAnsi="Inter" w:cstheme="minorHAnsi"/>
          <w:color w:val="7030A0"/>
        </w:rPr>
        <w:t>There is a large range of regulatory and compliance-related technology available to legal Practices. These tools assist with Electronic ID&amp;V (EID&amp;V</w:t>
      </w:r>
      <w:r w:rsidR="00AF7125" w:rsidRPr="00012467">
        <w:rPr>
          <w:rFonts w:ascii="Inter" w:hAnsi="Inter" w:cstheme="minorHAnsi"/>
          <w:color w:val="7030A0"/>
        </w:rPr>
        <w:t>)</w:t>
      </w:r>
      <w:r w:rsidRPr="00012467">
        <w:rPr>
          <w:rFonts w:ascii="Inter" w:hAnsi="Inter" w:cstheme="minorHAnsi"/>
          <w:color w:val="7030A0"/>
        </w:rPr>
        <w:t xml:space="preserve"> </w:t>
      </w:r>
      <w:r w:rsidR="000749A9" w:rsidRPr="00012467">
        <w:rPr>
          <w:rFonts w:ascii="Inter" w:hAnsi="Inter" w:cstheme="minorHAnsi"/>
          <w:color w:val="7030A0"/>
        </w:rPr>
        <w:t xml:space="preserve">and may </w:t>
      </w:r>
      <w:r w:rsidR="0094531D" w:rsidRPr="00012467">
        <w:rPr>
          <w:rFonts w:ascii="Inter" w:hAnsi="Inter" w:cstheme="minorHAnsi"/>
          <w:color w:val="7030A0"/>
        </w:rPr>
        <w:t>also</w:t>
      </w:r>
      <w:r w:rsidRPr="00012467">
        <w:rPr>
          <w:rFonts w:ascii="Inter" w:hAnsi="Inter" w:cstheme="minorHAnsi"/>
          <w:color w:val="7030A0"/>
        </w:rPr>
        <w:t xml:space="preserve"> </w:t>
      </w:r>
      <w:r w:rsidR="000749A9" w:rsidRPr="00012467">
        <w:rPr>
          <w:rFonts w:ascii="Inter" w:hAnsi="Inter" w:cstheme="minorHAnsi"/>
          <w:color w:val="7030A0"/>
        </w:rPr>
        <w:t>encompass/</w:t>
      </w:r>
      <w:r w:rsidR="0094531D" w:rsidRPr="00012467">
        <w:rPr>
          <w:rFonts w:ascii="Inter" w:hAnsi="Inter" w:cstheme="minorHAnsi"/>
          <w:color w:val="7030A0"/>
        </w:rPr>
        <w:t xml:space="preserve"> assist with</w:t>
      </w:r>
      <w:r w:rsidRPr="00012467">
        <w:rPr>
          <w:rFonts w:ascii="Inter" w:hAnsi="Inter" w:cstheme="minorHAnsi"/>
          <w:color w:val="7030A0"/>
        </w:rPr>
        <w:t xml:space="preserve"> PEP screening, adverse media checks and corporate register checks. </w:t>
      </w:r>
    </w:p>
    <w:p w14:paraId="4724FD4B" w14:textId="77777777" w:rsidR="003A68F2" w:rsidRPr="00012467" w:rsidRDefault="003A68F2" w:rsidP="00F65226">
      <w:pPr>
        <w:spacing w:after="0" w:line="240" w:lineRule="auto"/>
        <w:rPr>
          <w:rFonts w:ascii="Inter" w:hAnsi="Inter" w:cstheme="minorHAnsi"/>
          <w:color w:val="FF0000"/>
        </w:rPr>
      </w:pPr>
    </w:p>
    <w:p w14:paraId="68ED4FEC" w14:textId="17451B15" w:rsidR="00CA74CA" w:rsidRPr="00012467" w:rsidRDefault="001613D6" w:rsidP="00F65226">
      <w:pPr>
        <w:spacing w:after="0" w:line="240" w:lineRule="auto"/>
        <w:rPr>
          <w:rFonts w:ascii="Inter" w:hAnsi="Inter" w:cstheme="minorHAnsi"/>
        </w:rPr>
      </w:pPr>
      <w:r w:rsidRPr="00012467">
        <w:rPr>
          <w:rFonts w:ascii="Inter" w:hAnsi="Inter" w:cstheme="minorHAnsi"/>
          <w:color w:val="FF0000"/>
        </w:rPr>
        <w:t>[</w:t>
      </w:r>
      <w:r w:rsidR="00257D2C" w:rsidRPr="00012467">
        <w:rPr>
          <w:rFonts w:ascii="Inter" w:hAnsi="Inter" w:cstheme="minorHAnsi"/>
          <w:color w:val="FF0000"/>
        </w:rPr>
        <w:t>PRACTICE</w:t>
      </w:r>
      <w:r w:rsidRPr="00012467">
        <w:rPr>
          <w:rFonts w:ascii="Inter" w:hAnsi="Inter" w:cstheme="minorHAnsi"/>
          <w:color w:val="FF0000"/>
        </w:rPr>
        <w:t xml:space="preserve"> NAME] </w:t>
      </w:r>
      <w:r w:rsidRPr="00012467">
        <w:rPr>
          <w:rFonts w:ascii="Inter" w:hAnsi="Inter" w:cstheme="minorHAnsi"/>
        </w:rPr>
        <w:t>has decided</w:t>
      </w:r>
      <w:r w:rsidR="00C43571" w:rsidRPr="00012467">
        <w:rPr>
          <w:rFonts w:ascii="Inter" w:hAnsi="Inter" w:cstheme="minorHAnsi"/>
        </w:rPr>
        <w:t xml:space="preserve"> to make use of technology </w:t>
      </w:r>
      <w:r w:rsidR="00D51F27" w:rsidRPr="00012467">
        <w:rPr>
          <w:rFonts w:ascii="Inter" w:hAnsi="Inter" w:cstheme="minorHAnsi"/>
        </w:rPr>
        <w:t>to</w:t>
      </w:r>
      <w:r w:rsidR="00C43571" w:rsidRPr="00012467">
        <w:rPr>
          <w:rFonts w:ascii="Inter" w:hAnsi="Inter" w:cstheme="minorHAnsi"/>
        </w:rPr>
        <w:t xml:space="preserve"> help fulfil </w:t>
      </w:r>
      <w:r w:rsidRPr="00012467">
        <w:rPr>
          <w:rFonts w:ascii="Inter" w:hAnsi="Inter" w:cstheme="minorHAnsi"/>
        </w:rPr>
        <w:t>our</w:t>
      </w:r>
      <w:r w:rsidR="00C43571" w:rsidRPr="00012467">
        <w:rPr>
          <w:rFonts w:ascii="Inter" w:hAnsi="Inter" w:cstheme="minorHAnsi"/>
        </w:rPr>
        <w:t xml:space="preserve"> obligations under the Regulations. </w:t>
      </w:r>
    </w:p>
    <w:p w14:paraId="188CB08A" w14:textId="77777777" w:rsidR="00B307D1" w:rsidRPr="00012467" w:rsidRDefault="00B307D1" w:rsidP="00F65226">
      <w:pPr>
        <w:spacing w:after="0" w:line="240" w:lineRule="auto"/>
        <w:rPr>
          <w:rFonts w:ascii="Inter" w:hAnsi="Inter" w:cstheme="minorHAnsi"/>
        </w:rPr>
      </w:pPr>
    </w:p>
    <w:p w14:paraId="712A50AC" w14:textId="0DFEA1B3" w:rsidR="00AD4139" w:rsidRPr="00012467" w:rsidRDefault="00AD4139" w:rsidP="00F65226">
      <w:pPr>
        <w:spacing w:after="0" w:line="240" w:lineRule="auto"/>
        <w:rPr>
          <w:rFonts w:ascii="Inter" w:hAnsi="Inter" w:cstheme="minorHAnsi"/>
        </w:rPr>
      </w:pPr>
      <w:r w:rsidRPr="00012467">
        <w:rPr>
          <w:rFonts w:ascii="Inter" w:hAnsi="Inter" w:cstheme="minorHAnsi"/>
        </w:rPr>
        <w:t xml:space="preserve">These include </w:t>
      </w:r>
      <w:r w:rsidRPr="00012467">
        <w:rPr>
          <w:rFonts w:ascii="Inter" w:hAnsi="Inter" w:cstheme="minorHAnsi"/>
          <w:color w:val="7030A0"/>
        </w:rPr>
        <w:t>(delete as appropriate</w:t>
      </w:r>
      <w:r w:rsidR="00646D8E" w:rsidRPr="00012467">
        <w:rPr>
          <w:rFonts w:ascii="Inter" w:hAnsi="Inter" w:cstheme="minorHAnsi"/>
        </w:rPr>
        <w:t>)</w:t>
      </w:r>
      <w:r w:rsidRPr="00012467">
        <w:rPr>
          <w:rFonts w:ascii="Inter" w:hAnsi="Inter" w:cstheme="minorHAnsi"/>
        </w:rPr>
        <w:t>:</w:t>
      </w:r>
    </w:p>
    <w:p w14:paraId="7C8E05D3" w14:textId="77777777" w:rsidR="00B307D1" w:rsidRPr="00012467" w:rsidRDefault="00B307D1" w:rsidP="00F65226">
      <w:pPr>
        <w:spacing w:after="0" w:line="240" w:lineRule="auto"/>
        <w:rPr>
          <w:rFonts w:ascii="Inter" w:hAnsi="Inter" w:cstheme="minorHAnsi"/>
        </w:rPr>
      </w:pPr>
    </w:p>
    <w:p w14:paraId="1E4CA590" w14:textId="77E04663" w:rsidR="00AD4139" w:rsidRPr="00012467" w:rsidRDefault="00AF7125" w:rsidP="004A06CE">
      <w:pPr>
        <w:pStyle w:val="ListParagraph"/>
        <w:numPr>
          <w:ilvl w:val="0"/>
          <w:numId w:val="24"/>
        </w:numPr>
        <w:spacing w:after="0" w:line="240" w:lineRule="auto"/>
        <w:rPr>
          <w:rFonts w:ascii="Inter" w:hAnsi="Inter" w:cstheme="minorHAnsi"/>
        </w:rPr>
      </w:pPr>
      <w:r w:rsidRPr="00012467">
        <w:rPr>
          <w:rFonts w:ascii="Inter" w:hAnsi="Inter" w:cstheme="minorHAnsi"/>
        </w:rPr>
        <w:t>E</w:t>
      </w:r>
      <w:r w:rsidR="00AD4139" w:rsidRPr="00012467">
        <w:rPr>
          <w:rFonts w:ascii="Inter" w:hAnsi="Inter" w:cstheme="minorHAnsi"/>
        </w:rPr>
        <w:t>lectronic ID&amp;V systems</w:t>
      </w:r>
      <w:r w:rsidR="00B307D1" w:rsidRPr="00012467">
        <w:rPr>
          <w:rFonts w:ascii="Inter" w:hAnsi="Inter" w:cstheme="minorHAnsi"/>
        </w:rPr>
        <w:t xml:space="preserve"> </w:t>
      </w:r>
      <w:r w:rsidR="00C224A8" w:rsidRPr="00012467">
        <w:rPr>
          <w:rFonts w:ascii="Inter" w:hAnsi="Inter" w:cstheme="minorHAnsi"/>
        </w:rPr>
        <w:t xml:space="preserve">and Source of Funds </w:t>
      </w:r>
      <w:r w:rsidR="00F60CA2" w:rsidRPr="00012467">
        <w:rPr>
          <w:rFonts w:ascii="Inter" w:hAnsi="Inter" w:cstheme="minorHAnsi"/>
        </w:rPr>
        <w:t>c</w:t>
      </w:r>
      <w:r w:rsidR="00C224A8" w:rsidRPr="00012467">
        <w:rPr>
          <w:rFonts w:ascii="Inter" w:hAnsi="Inter" w:cstheme="minorHAnsi"/>
        </w:rPr>
        <w:t xml:space="preserve">hecking tools </w:t>
      </w:r>
    </w:p>
    <w:p w14:paraId="7E2C8F3C" w14:textId="18F4A875" w:rsidR="00AD4139" w:rsidRPr="00012467" w:rsidRDefault="00AD4139" w:rsidP="004A06CE">
      <w:pPr>
        <w:pStyle w:val="ListParagraph"/>
        <w:numPr>
          <w:ilvl w:val="0"/>
          <w:numId w:val="24"/>
        </w:numPr>
        <w:spacing w:after="0" w:line="240" w:lineRule="auto"/>
        <w:rPr>
          <w:rFonts w:ascii="Inter" w:hAnsi="Inter" w:cstheme="minorHAnsi"/>
        </w:rPr>
      </w:pPr>
      <w:r w:rsidRPr="00012467">
        <w:rPr>
          <w:rFonts w:ascii="Inter" w:hAnsi="Inter" w:cstheme="minorHAnsi"/>
        </w:rPr>
        <w:t>Corporate registr</w:t>
      </w:r>
      <w:r w:rsidR="00B307D1" w:rsidRPr="00012467">
        <w:rPr>
          <w:rFonts w:ascii="Inter" w:hAnsi="Inter" w:cstheme="minorHAnsi"/>
        </w:rPr>
        <w:t>ies</w:t>
      </w:r>
    </w:p>
    <w:p w14:paraId="6E49E940" w14:textId="2A87E8AF" w:rsidR="00AD4139" w:rsidRPr="00012467" w:rsidRDefault="00AD4139" w:rsidP="004A06CE">
      <w:pPr>
        <w:pStyle w:val="ListParagraph"/>
        <w:numPr>
          <w:ilvl w:val="0"/>
          <w:numId w:val="24"/>
        </w:numPr>
        <w:spacing w:after="0" w:line="240" w:lineRule="auto"/>
        <w:rPr>
          <w:rFonts w:ascii="Inter" w:hAnsi="Inter" w:cstheme="minorHAnsi"/>
        </w:rPr>
      </w:pPr>
      <w:r w:rsidRPr="00012467">
        <w:rPr>
          <w:rFonts w:ascii="Inter" w:hAnsi="Inter" w:cstheme="minorHAnsi"/>
        </w:rPr>
        <w:t>P</w:t>
      </w:r>
      <w:r w:rsidR="00646D8E" w:rsidRPr="00012467">
        <w:rPr>
          <w:rFonts w:ascii="Inter" w:hAnsi="Inter" w:cstheme="minorHAnsi"/>
        </w:rPr>
        <w:t>EP</w:t>
      </w:r>
      <w:r w:rsidRPr="00012467">
        <w:rPr>
          <w:rFonts w:ascii="Inter" w:hAnsi="Inter" w:cstheme="minorHAnsi"/>
        </w:rPr>
        <w:t xml:space="preserve">, </w:t>
      </w:r>
      <w:r w:rsidR="00646D8E" w:rsidRPr="00012467">
        <w:rPr>
          <w:rFonts w:ascii="Inter" w:hAnsi="Inter" w:cstheme="minorHAnsi"/>
        </w:rPr>
        <w:t>S</w:t>
      </w:r>
      <w:r w:rsidRPr="00012467">
        <w:rPr>
          <w:rFonts w:ascii="Inter" w:hAnsi="Inter" w:cstheme="minorHAnsi"/>
        </w:rPr>
        <w:t>anction</w:t>
      </w:r>
      <w:r w:rsidR="00B307D1" w:rsidRPr="00012467">
        <w:rPr>
          <w:rFonts w:ascii="Inter" w:hAnsi="Inter" w:cstheme="minorHAnsi"/>
        </w:rPr>
        <w:t>s</w:t>
      </w:r>
      <w:r w:rsidR="00646D8E" w:rsidRPr="00012467">
        <w:rPr>
          <w:rFonts w:ascii="Inter" w:hAnsi="Inter" w:cstheme="minorHAnsi"/>
        </w:rPr>
        <w:t>, A</w:t>
      </w:r>
      <w:r w:rsidRPr="00012467">
        <w:rPr>
          <w:rFonts w:ascii="Inter" w:hAnsi="Inter" w:cstheme="minorHAnsi"/>
        </w:rPr>
        <w:t>dverse media screeners</w:t>
      </w:r>
      <w:r w:rsidR="00646D8E" w:rsidRPr="00012467">
        <w:rPr>
          <w:rFonts w:ascii="Inter" w:hAnsi="Inter" w:cstheme="minorHAnsi"/>
        </w:rPr>
        <w:t xml:space="preserve"> </w:t>
      </w:r>
    </w:p>
    <w:p w14:paraId="5CED6E6E" w14:textId="77777777" w:rsidR="003A68F2" w:rsidRPr="00012467" w:rsidRDefault="003A68F2" w:rsidP="00A122A3">
      <w:pPr>
        <w:pStyle w:val="ListParagraph"/>
        <w:spacing w:after="0" w:line="240" w:lineRule="auto"/>
        <w:rPr>
          <w:rFonts w:ascii="Inter" w:hAnsi="Inter" w:cstheme="minorHAnsi"/>
        </w:rPr>
      </w:pPr>
    </w:p>
    <w:p w14:paraId="1E71A87F" w14:textId="571A27F4" w:rsidR="00CA74CA" w:rsidRPr="00012467" w:rsidRDefault="00CA74CA" w:rsidP="00F65226">
      <w:pPr>
        <w:spacing w:after="0" w:line="240" w:lineRule="auto"/>
        <w:rPr>
          <w:rFonts w:ascii="Inter" w:hAnsi="Inter" w:cstheme="minorHAnsi"/>
          <w:color w:val="7030A0"/>
        </w:rPr>
      </w:pPr>
      <w:r w:rsidRPr="00012467">
        <w:rPr>
          <w:rFonts w:ascii="Inter" w:hAnsi="Inter" w:cstheme="minorHAnsi"/>
          <w:color w:val="7030A0"/>
        </w:rPr>
        <w:t xml:space="preserve">The </w:t>
      </w:r>
      <w:r w:rsidR="004F6384" w:rsidRPr="00012467">
        <w:rPr>
          <w:rFonts w:ascii="Inter" w:hAnsi="Inter" w:cstheme="minorHAnsi"/>
          <w:color w:val="7030A0"/>
        </w:rPr>
        <w:t>PCPs</w:t>
      </w:r>
      <w:r w:rsidRPr="00012467">
        <w:rPr>
          <w:rFonts w:ascii="Inter" w:hAnsi="Inter" w:cstheme="minorHAnsi"/>
          <w:color w:val="7030A0"/>
        </w:rPr>
        <w:t xml:space="preserve"> should</w:t>
      </w:r>
      <w:r w:rsidR="00AD4139" w:rsidRPr="00012467">
        <w:rPr>
          <w:rFonts w:ascii="Inter" w:hAnsi="Inter" w:cstheme="minorHAnsi"/>
          <w:color w:val="7030A0"/>
        </w:rPr>
        <w:t xml:space="preserve"> then</w:t>
      </w:r>
      <w:r w:rsidRPr="00012467">
        <w:rPr>
          <w:rFonts w:ascii="Inter" w:hAnsi="Inter" w:cstheme="minorHAnsi"/>
          <w:color w:val="7030A0"/>
        </w:rPr>
        <w:t xml:space="preserve"> make reference to Technology</w:t>
      </w:r>
      <w:r w:rsidR="00AD4139" w:rsidRPr="00012467">
        <w:rPr>
          <w:rFonts w:ascii="Inter" w:hAnsi="Inter" w:cstheme="minorHAnsi"/>
          <w:color w:val="7030A0"/>
        </w:rPr>
        <w:t xml:space="preserve"> where used</w:t>
      </w:r>
      <w:r w:rsidRPr="00012467">
        <w:rPr>
          <w:rFonts w:ascii="Inter" w:hAnsi="Inter" w:cstheme="minorHAnsi"/>
          <w:color w:val="7030A0"/>
        </w:rPr>
        <w:t xml:space="preserve">, covering the </w:t>
      </w:r>
      <w:r w:rsidR="00794F08" w:rsidRPr="00012467">
        <w:rPr>
          <w:rFonts w:ascii="Inter" w:hAnsi="Inter" w:cstheme="minorHAnsi"/>
          <w:color w:val="7030A0"/>
        </w:rPr>
        <w:t>following</w:t>
      </w:r>
      <w:r w:rsidRPr="00012467">
        <w:rPr>
          <w:rFonts w:ascii="Inter" w:hAnsi="Inter" w:cstheme="minorHAnsi"/>
          <w:color w:val="7030A0"/>
        </w:rPr>
        <w:t>:</w:t>
      </w:r>
    </w:p>
    <w:p w14:paraId="217BA30B" w14:textId="77777777" w:rsidR="00B307D1" w:rsidRPr="00012467" w:rsidRDefault="00B307D1" w:rsidP="00F65226">
      <w:pPr>
        <w:spacing w:after="0" w:line="240" w:lineRule="auto"/>
        <w:rPr>
          <w:rFonts w:ascii="Inter" w:hAnsi="Inter" w:cstheme="minorHAnsi"/>
          <w:color w:val="7030A0"/>
        </w:rPr>
      </w:pPr>
    </w:p>
    <w:p w14:paraId="2C529143" w14:textId="57762A88" w:rsidR="00991BFC" w:rsidRPr="00012467" w:rsidRDefault="00DC3226" w:rsidP="004A06CE">
      <w:pPr>
        <w:pStyle w:val="ListParagraph"/>
        <w:numPr>
          <w:ilvl w:val="0"/>
          <w:numId w:val="6"/>
        </w:numPr>
        <w:spacing w:after="0" w:line="240" w:lineRule="auto"/>
        <w:rPr>
          <w:rFonts w:ascii="Inter" w:hAnsi="Inter" w:cstheme="minorHAnsi"/>
          <w:color w:val="7030A0"/>
        </w:rPr>
      </w:pPr>
      <w:r w:rsidRPr="00012467">
        <w:rPr>
          <w:rFonts w:ascii="Inter" w:hAnsi="Inter" w:cstheme="minorHAnsi"/>
          <w:color w:val="7030A0"/>
        </w:rPr>
        <w:t>Is an electronic</w:t>
      </w:r>
      <w:r w:rsidR="00AD4139" w:rsidRPr="00012467">
        <w:rPr>
          <w:rFonts w:ascii="Inter" w:hAnsi="Inter" w:cstheme="minorHAnsi"/>
          <w:color w:val="7030A0"/>
        </w:rPr>
        <w:t xml:space="preserve"> E</w:t>
      </w:r>
      <w:r w:rsidRPr="00012467">
        <w:rPr>
          <w:rFonts w:ascii="Inter" w:hAnsi="Inter" w:cstheme="minorHAnsi"/>
          <w:color w:val="7030A0"/>
        </w:rPr>
        <w:t>ID&amp;V tool used? If so, what role does the tool take?</w:t>
      </w:r>
    </w:p>
    <w:p w14:paraId="4175F5F3" w14:textId="62AB976A" w:rsidR="00DC3226" w:rsidRPr="00012467" w:rsidRDefault="00DC3226" w:rsidP="004A06CE">
      <w:pPr>
        <w:pStyle w:val="ListParagraph"/>
        <w:numPr>
          <w:ilvl w:val="0"/>
          <w:numId w:val="6"/>
        </w:numPr>
        <w:spacing w:after="0" w:line="240" w:lineRule="auto"/>
        <w:rPr>
          <w:rFonts w:ascii="Inter" w:hAnsi="Inter" w:cstheme="minorHAnsi"/>
          <w:color w:val="7030A0"/>
        </w:rPr>
      </w:pPr>
      <w:r w:rsidRPr="00012467">
        <w:rPr>
          <w:rFonts w:ascii="Inter" w:hAnsi="Inter" w:cstheme="minorHAnsi"/>
          <w:color w:val="7030A0"/>
        </w:rPr>
        <w:t xml:space="preserve">What circumstances should the tool be used? </w:t>
      </w:r>
    </w:p>
    <w:p w14:paraId="6BDCB850" w14:textId="1EB1DC6E" w:rsidR="00055807" w:rsidRPr="00012467" w:rsidRDefault="00055807" w:rsidP="004A06CE">
      <w:pPr>
        <w:pStyle w:val="ListParagraph"/>
        <w:numPr>
          <w:ilvl w:val="0"/>
          <w:numId w:val="6"/>
        </w:numPr>
        <w:spacing w:after="0" w:line="240" w:lineRule="auto"/>
        <w:rPr>
          <w:rFonts w:ascii="Inter" w:hAnsi="Inter" w:cstheme="minorHAnsi"/>
          <w:color w:val="7030A0"/>
        </w:rPr>
      </w:pPr>
      <w:r w:rsidRPr="00012467">
        <w:rPr>
          <w:rFonts w:ascii="Inter" w:hAnsi="Inter" w:cstheme="minorHAnsi"/>
          <w:color w:val="7030A0"/>
        </w:rPr>
        <w:t>What are the benefits of the tool?</w:t>
      </w:r>
    </w:p>
    <w:p w14:paraId="6EA93979" w14:textId="708B6A47" w:rsidR="00055807" w:rsidRPr="00012467" w:rsidRDefault="00055807" w:rsidP="004A06CE">
      <w:pPr>
        <w:pStyle w:val="ListParagraph"/>
        <w:numPr>
          <w:ilvl w:val="0"/>
          <w:numId w:val="6"/>
        </w:numPr>
        <w:spacing w:after="0" w:line="240" w:lineRule="auto"/>
        <w:rPr>
          <w:rFonts w:ascii="Inter" w:hAnsi="Inter" w:cstheme="minorHAnsi"/>
          <w:color w:val="7030A0"/>
        </w:rPr>
      </w:pPr>
      <w:r w:rsidRPr="00012467">
        <w:rPr>
          <w:rFonts w:ascii="Inter" w:hAnsi="Inter" w:cstheme="minorHAnsi"/>
          <w:color w:val="7030A0"/>
        </w:rPr>
        <w:t>What are the limitations of the tool?</w:t>
      </w:r>
    </w:p>
    <w:p w14:paraId="2282E41A" w14:textId="77777777" w:rsidR="003A68F2" w:rsidRPr="00012467" w:rsidRDefault="003A68F2" w:rsidP="00F65226">
      <w:pPr>
        <w:spacing w:after="0" w:line="240" w:lineRule="auto"/>
        <w:rPr>
          <w:rFonts w:ascii="Inter" w:hAnsi="Inter" w:cstheme="minorHAnsi"/>
          <w:color w:val="7030A0"/>
        </w:rPr>
      </w:pPr>
    </w:p>
    <w:p w14:paraId="2F79173C" w14:textId="7D72AACC" w:rsidR="00C514B7" w:rsidRPr="00012467" w:rsidRDefault="00C514B7" w:rsidP="00F65226">
      <w:pPr>
        <w:spacing w:after="0" w:line="240" w:lineRule="auto"/>
        <w:rPr>
          <w:rFonts w:ascii="Inter" w:hAnsi="Inter" w:cstheme="minorHAnsi"/>
          <w:color w:val="7030A0"/>
        </w:rPr>
      </w:pPr>
      <w:r w:rsidRPr="00012467">
        <w:rPr>
          <w:rFonts w:ascii="Inter" w:hAnsi="Inter" w:cstheme="minorHAnsi"/>
          <w:color w:val="7030A0"/>
        </w:rPr>
        <w:t xml:space="preserve">If a tool is used the following should </w:t>
      </w:r>
      <w:r w:rsidR="004F6384" w:rsidRPr="00012467">
        <w:rPr>
          <w:rFonts w:ascii="Inter" w:hAnsi="Inter" w:cstheme="minorHAnsi"/>
          <w:color w:val="7030A0"/>
        </w:rPr>
        <w:t xml:space="preserve">also </w:t>
      </w:r>
      <w:r w:rsidRPr="00012467">
        <w:rPr>
          <w:rFonts w:ascii="Inter" w:hAnsi="Inter" w:cstheme="minorHAnsi"/>
          <w:color w:val="7030A0"/>
        </w:rPr>
        <w:t>be documented within your PCPs</w:t>
      </w:r>
      <w:r w:rsidR="00B307D1" w:rsidRPr="00012467">
        <w:rPr>
          <w:rFonts w:ascii="Inter" w:hAnsi="Inter" w:cstheme="minorHAnsi"/>
          <w:color w:val="7030A0"/>
        </w:rPr>
        <w:t>:</w:t>
      </w:r>
    </w:p>
    <w:p w14:paraId="5CAF64A3" w14:textId="77777777" w:rsidR="00B307D1" w:rsidRPr="00012467" w:rsidRDefault="00B307D1" w:rsidP="00F65226">
      <w:pPr>
        <w:spacing w:after="0" w:line="240" w:lineRule="auto"/>
        <w:rPr>
          <w:rFonts w:ascii="Inter" w:hAnsi="Inter" w:cstheme="minorHAnsi"/>
          <w:color w:val="7030A0"/>
        </w:rPr>
      </w:pPr>
    </w:p>
    <w:p w14:paraId="51E941DC" w14:textId="307605EC" w:rsidR="00C514B7" w:rsidRPr="00012467" w:rsidRDefault="00C514B7"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The tools name</w:t>
      </w:r>
    </w:p>
    <w:p w14:paraId="3ACE04C1" w14:textId="67E8AD3C" w:rsidR="00C514B7" w:rsidRPr="00012467" w:rsidRDefault="00C514B7"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 xml:space="preserve">What </w:t>
      </w:r>
      <w:r w:rsidR="004F6384" w:rsidRPr="00012467">
        <w:rPr>
          <w:rFonts w:ascii="Inter" w:hAnsi="Inter" w:cstheme="minorHAnsi"/>
          <w:color w:val="7030A0"/>
        </w:rPr>
        <w:t>it’s</w:t>
      </w:r>
      <w:r w:rsidRPr="00012467">
        <w:rPr>
          <w:rFonts w:ascii="Inter" w:hAnsi="Inter" w:cstheme="minorHAnsi"/>
          <w:color w:val="7030A0"/>
        </w:rPr>
        <w:t xml:space="preserve"> used for?</w:t>
      </w:r>
      <w:r w:rsidR="00C224A8" w:rsidRPr="00012467">
        <w:rPr>
          <w:rFonts w:ascii="Inter" w:hAnsi="Inter" w:cstheme="minorHAnsi"/>
          <w:color w:val="7030A0"/>
        </w:rPr>
        <w:t xml:space="preserve"> (ID&amp;V, Screening, Corporate Registry)</w:t>
      </w:r>
    </w:p>
    <w:p w14:paraId="68043693" w14:textId="741BA165" w:rsidR="00C514B7" w:rsidRPr="00012467" w:rsidRDefault="00C514B7"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 xml:space="preserve">Who </w:t>
      </w:r>
      <w:r w:rsidR="00C224A8" w:rsidRPr="00012467">
        <w:rPr>
          <w:rFonts w:ascii="Inter" w:hAnsi="Inter" w:cstheme="minorHAnsi"/>
          <w:color w:val="7030A0"/>
        </w:rPr>
        <w:t xml:space="preserve">at the Practice </w:t>
      </w:r>
      <w:r w:rsidRPr="00012467">
        <w:rPr>
          <w:rFonts w:ascii="Inter" w:hAnsi="Inter" w:cstheme="minorHAnsi"/>
          <w:color w:val="7030A0"/>
        </w:rPr>
        <w:t>has access to the tool?</w:t>
      </w:r>
    </w:p>
    <w:p w14:paraId="7C1D0B11" w14:textId="630B855E" w:rsidR="00C514B7" w:rsidRPr="00012467" w:rsidRDefault="00C514B7"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Who is responsible for interpreting results?</w:t>
      </w:r>
    </w:p>
    <w:p w14:paraId="4C0853B8" w14:textId="5332F966" w:rsidR="00C224A8" w:rsidRPr="00012467" w:rsidRDefault="00C224A8"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How should results be interpreted</w:t>
      </w:r>
    </w:p>
    <w:p w14:paraId="5BDB1097" w14:textId="23653A2D" w:rsidR="00C514B7" w:rsidRPr="00012467" w:rsidRDefault="00C514B7" w:rsidP="004A06CE">
      <w:pPr>
        <w:pStyle w:val="ListParagraph"/>
        <w:numPr>
          <w:ilvl w:val="0"/>
          <w:numId w:val="21"/>
        </w:numPr>
        <w:spacing w:after="0" w:line="240" w:lineRule="auto"/>
        <w:rPr>
          <w:rFonts w:ascii="Inter" w:hAnsi="Inter" w:cstheme="minorHAnsi"/>
          <w:color w:val="7030A0"/>
        </w:rPr>
      </w:pPr>
      <w:r w:rsidRPr="00012467">
        <w:rPr>
          <w:rFonts w:ascii="Inter" w:hAnsi="Inter" w:cstheme="minorHAnsi"/>
          <w:color w:val="7030A0"/>
        </w:rPr>
        <w:t xml:space="preserve">What </w:t>
      </w:r>
      <w:r w:rsidR="00C224A8" w:rsidRPr="00012467">
        <w:rPr>
          <w:rFonts w:ascii="Inter" w:hAnsi="Inter" w:cstheme="minorHAnsi"/>
          <w:color w:val="7030A0"/>
        </w:rPr>
        <w:t xml:space="preserve">lists </w:t>
      </w:r>
      <w:r w:rsidRPr="00012467">
        <w:rPr>
          <w:rFonts w:ascii="Inter" w:hAnsi="Inter" w:cstheme="minorHAnsi"/>
          <w:color w:val="7030A0"/>
        </w:rPr>
        <w:t xml:space="preserve">does the tool </w:t>
      </w:r>
      <w:r w:rsidR="00C224A8" w:rsidRPr="00012467">
        <w:rPr>
          <w:rFonts w:ascii="Inter" w:hAnsi="Inter" w:cstheme="minorHAnsi"/>
          <w:color w:val="7030A0"/>
        </w:rPr>
        <w:t>screen against</w:t>
      </w:r>
    </w:p>
    <w:p w14:paraId="687EACE1" w14:textId="77777777" w:rsidR="00E43DE2" w:rsidRPr="00012467" w:rsidRDefault="00E43DE2" w:rsidP="00F65226">
      <w:pPr>
        <w:pStyle w:val="ListParagraph"/>
        <w:spacing w:after="0" w:line="240" w:lineRule="auto"/>
        <w:rPr>
          <w:rFonts w:ascii="Inter" w:hAnsi="Inter" w:cstheme="minorHAnsi"/>
          <w:color w:val="7030A0"/>
        </w:rPr>
      </w:pPr>
    </w:p>
    <w:p w14:paraId="26AC0A83" w14:textId="77777777" w:rsidR="00CE7BCF" w:rsidRPr="00012467" w:rsidRDefault="00CE7BCF" w:rsidP="00CE7BCF">
      <w:pPr>
        <w:rPr>
          <w:rFonts w:ascii="Inter" w:hAnsi="Inter"/>
        </w:rPr>
      </w:pPr>
    </w:p>
    <w:p w14:paraId="7550DBDF" w14:textId="4DFD79CB" w:rsidR="00DC3226" w:rsidRPr="00012467" w:rsidRDefault="005F7E7C" w:rsidP="00B537D2">
      <w:pPr>
        <w:pStyle w:val="Heading1"/>
        <w:rPr>
          <w:rFonts w:ascii="Inter" w:hAnsi="Inter"/>
          <w:sz w:val="18"/>
          <w:szCs w:val="18"/>
          <w:u w:val="single"/>
        </w:rPr>
      </w:pPr>
      <w:bookmarkStart w:id="26" w:name="_Toc126840577"/>
      <w:r w:rsidRPr="00012467">
        <w:rPr>
          <w:rFonts w:ascii="Inter" w:hAnsi="Inter" w:cstheme="minorHAnsi"/>
          <w:u w:val="single"/>
        </w:rPr>
        <w:t>Training</w:t>
      </w:r>
      <w:bookmarkEnd w:id="26"/>
      <w:r w:rsidR="00AC5243" w:rsidRPr="00012467">
        <w:rPr>
          <w:rFonts w:ascii="Inter" w:hAnsi="Inter"/>
          <w:u w:val="single"/>
        </w:rPr>
        <w:br/>
      </w:r>
    </w:p>
    <w:p w14:paraId="13D2F26D" w14:textId="3B7D454A" w:rsidR="008C44AA" w:rsidRPr="00012467" w:rsidRDefault="008C44AA" w:rsidP="00F65226">
      <w:pPr>
        <w:spacing w:after="0" w:line="240" w:lineRule="auto"/>
        <w:rPr>
          <w:rFonts w:ascii="Inter" w:hAnsi="Inter" w:cstheme="minorHAnsi"/>
          <w:b/>
          <w:bCs/>
        </w:rPr>
      </w:pPr>
      <w:r w:rsidRPr="00012467">
        <w:rPr>
          <w:rFonts w:ascii="Inter" w:hAnsi="Inter" w:cstheme="minorHAnsi"/>
          <w:b/>
          <w:bCs/>
        </w:rPr>
        <w:t>LSAG Guidance Section 8</w:t>
      </w:r>
    </w:p>
    <w:p w14:paraId="4FD80039" w14:textId="77777777" w:rsidR="00040B00" w:rsidRPr="00012467" w:rsidRDefault="00040B00" w:rsidP="00F65226">
      <w:pPr>
        <w:spacing w:after="0" w:line="240" w:lineRule="auto"/>
        <w:rPr>
          <w:rFonts w:ascii="Inter" w:hAnsi="Inter" w:cstheme="minorHAnsi"/>
        </w:rPr>
      </w:pPr>
    </w:p>
    <w:p w14:paraId="7AFCDF87" w14:textId="2C8D6A78" w:rsidR="00111205" w:rsidRPr="003B4C73" w:rsidRDefault="00111205" w:rsidP="00F65226">
      <w:pPr>
        <w:spacing w:after="0" w:line="240" w:lineRule="auto"/>
        <w:rPr>
          <w:rFonts w:ascii="Inter" w:hAnsi="Inter" w:cstheme="minorHAnsi"/>
          <w:color w:val="7030A0"/>
        </w:rPr>
      </w:pPr>
      <w:r w:rsidRPr="003B4C73">
        <w:rPr>
          <w:rFonts w:ascii="Inter" w:hAnsi="Inter" w:cstheme="minorHAnsi"/>
          <w:color w:val="7030A0"/>
        </w:rPr>
        <w:t>Within this section, you should tailor the below to your practice. Ensuring that the relevant points are covered and clearly documented within your PCP.</w:t>
      </w:r>
    </w:p>
    <w:p w14:paraId="483A3650" w14:textId="77777777" w:rsidR="00040B00" w:rsidRPr="00012467" w:rsidRDefault="00040B00" w:rsidP="00F65226">
      <w:pPr>
        <w:spacing w:after="0" w:line="240" w:lineRule="auto"/>
        <w:rPr>
          <w:rFonts w:ascii="Inter" w:hAnsi="Inter" w:cstheme="minorHAnsi"/>
          <w:i/>
          <w:iCs/>
          <w:color w:val="7030A0"/>
        </w:rPr>
      </w:pPr>
    </w:p>
    <w:p w14:paraId="7B109B97" w14:textId="0B762E3F" w:rsidR="008C44AA" w:rsidRPr="00012467" w:rsidRDefault="008C44AA" w:rsidP="00F65226">
      <w:pPr>
        <w:spacing w:after="0" w:line="240" w:lineRule="auto"/>
        <w:rPr>
          <w:rFonts w:ascii="Inter" w:hAnsi="Inter" w:cstheme="minorHAnsi"/>
        </w:rPr>
      </w:pPr>
      <w:r w:rsidRPr="00012467">
        <w:rPr>
          <w:rFonts w:ascii="Inter" w:hAnsi="Inter" w:cstheme="minorHAnsi"/>
        </w:rPr>
        <w:t xml:space="preserve">Employees are </w:t>
      </w:r>
      <w:r w:rsidRPr="00012467">
        <w:rPr>
          <w:rFonts w:ascii="Inter" w:hAnsi="Inter" w:cstheme="minorHAnsi"/>
          <w:color w:val="FF0000"/>
        </w:rPr>
        <w:t>[</w:t>
      </w:r>
      <w:r w:rsidR="00D068DD" w:rsidRPr="00012467">
        <w:rPr>
          <w:rFonts w:ascii="Inter" w:hAnsi="Inter" w:cstheme="minorHAnsi"/>
          <w:color w:val="FF0000"/>
        </w:rPr>
        <w:t>PRACTICE</w:t>
      </w:r>
      <w:r w:rsidRPr="00012467">
        <w:rPr>
          <w:rFonts w:ascii="Inter" w:hAnsi="Inter" w:cstheme="minorHAnsi"/>
          <w:color w:val="FF0000"/>
        </w:rPr>
        <w:t xml:space="preserve"> NAME]</w:t>
      </w:r>
      <w:r w:rsidRPr="00012467">
        <w:rPr>
          <w:rFonts w:ascii="Inter" w:hAnsi="Inter" w:cstheme="minorHAnsi"/>
        </w:rPr>
        <w:t xml:space="preserve">’s most effective defence against the </w:t>
      </w:r>
      <w:r w:rsidR="00237ECD" w:rsidRPr="00012467">
        <w:rPr>
          <w:rFonts w:ascii="Inter" w:hAnsi="Inter" w:cstheme="minorHAnsi"/>
        </w:rPr>
        <w:t>Practice</w:t>
      </w:r>
      <w:r w:rsidRPr="00012467">
        <w:rPr>
          <w:rFonts w:ascii="Inter" w:hAnsi="Inter" w:cstheme="minorHAnsi"/>
        </w:rPr>
        <w:t xml:space="preserve"> becoming inadvertently involved in Money Laundering or Terrorist Financing. Providing employees with adequate training, in order to equip them with appropriate AML awareness</w:t>
      </w:r>
      <w:r w:rsidR="00237ECD" w:rsidRPr="00012467">
        <w:rPr>
          <w:rFonts w:ascii="Inter" w:hAnsi="Inter" w:cstheme="minorHAnsi"/>
        </w:rPr>
        <w:t xml:space="preserve">, skills and knowledge is a key part of AML controls, and an important way to mitigate the risks the Practice faces. </w:t>
      </w:r>
    </w:p>
    <w:p w14:paraId="1F6E525B" w14:textId="77777777" w:rsidR="00040B00" w:rsidRPr="00012467" w:rsidRDefault="00040B00" w:rsidP="00F65226">
      <w:pPr>
        <w:spacing w:after="0" w:line="240" w:lineRule="auto"/>
        <w:rPr>
          <w:rFonts w:ascii="Inter" w:hAnsi="Inter" w:cstheme="minorHAnsi"/>
        </w:rPr>
      </w:pPr>
    </w:p>
    <w:p w14:paraId="43523FA4" w14:textId="28A45BE2" w:rsidR="005F7E7C" w:rsidRPr="00012467" w:rsidRDefault="005F7E7C" w:rsidP="00F65226">
      <w:pPr>
        <w:spacing w:after="0" w:line="240" w:lineRule="auto"/>
        <w:rPr>
          <w:rFonts w:ascii="Inter" w:hAnsi="Inter" w:cstheme="minorHAnsi"/>
          <w:color w:val="7030A0"/>
        </w:rPr>
      </w:pPr>
      <w:r w:rsidRPr="00012467">
        <w:rPr>
          <w:rFonts w:ascii="Inter" w:hAnsi="Inter" w:cstheme="minorHAnsi"/>
          <w:color w:val="7030A0"/>
        </w:rPr>
        <w:t>The practice must have clearly documented PCPs based on their PWRA</w:t>
      </w:r>
      <w:r w:rsidR="00794F08" w:rsidRPr="00012467">
        <w:rPr>
          <w:rFonts w:ascii="Inter" w:hAnsi="Inter" w:cstheme="minorHAnsi"/>
          <w:color w:val="7030A0"/>
        </w:rPr>
        <w:t>, which cover the following:</w:t>
      </w:r>
    </w:p>
    <w:p w14:paraId="27FF9393" w14:textId="42F09CC4" w:rsidR="005F7E7C" w:rsidRPr="00012467" w:rsidRDefault="005F7E7C" w:rsidP="004A06CE">
      <w:pPr>
        <w:pStyle w:val="ListParagraph"/>
        <w:numPr>
          <w:ilvl w:val="0"/>
          <w:numId w:val="7"/>
        </w:numPr>
        <w:spacing w:after="0" w:line="240" w:lineRule="auto"/>
        <w:rPr>
          <w:rFonts w:ascii="Inter" w:hAnsi="Inter" w:cstheme="minorHAnsi"/>
          <w:color w:val="7030A0"/>
        </w:rPr>
      </w:pPr>
      <w:r w:rsidRPr="00012467">
        <w:rPr>
          <w:rFonts w:ascii="Inter" w:hAnsi="Inter" w:cstheme="minorHAnsi"/>
          <w:color w:val="7030A0"/>
        </w:rPr>
        <w:t>What training is completed</w:t>
      </w:r>
      <w:r w:rsidR="000749A9" w:rsidRPr="00012467">
        <w:rPr>
          <w:rFonts w:ascii="Inter" w:hAnsi="Inter" w:cstheme="minorHAnsi"/>
          <w:color w:val="7030A0"/>
        </w:rPr>
        <w:t xml:space="preserve"> – by the MLRO, Fee Earners, Partners and other employees – commensurate with their role and responsibilities</w:t>
      </w:r>
    </w:p>
    <w:p w14:paraId="58464E96" w14:textId="797373BE" w:rsidR="005F7E7C" w:rsidRPr="00012467" w:rsidRDefault="005F7E7C" w:rsidP="004A06CE">
      <w:pPr>
        <w:pStyle w:val="ListParagraph"/>
        <w:numPr>
          <w:ilvl w:val="0"/>
          <w:numId w:val="7"/>
        </w:numPr>
        <w:spacing w:after="0" w:line="240" w:lineRule="auto"/>
        <w:rPr>
          <w:rFonts w:ascii="Inter" w:hAnsi="Inter" w:cstheme="minorHAnsi"/>
          <w:color w:val="7030A0"/>
        </w:rPr>
      </w:pPr>
      <w:r w:rsidRPr="00012467">
        <w:rPr>
          <w:rFonts w:ascii="Inter" w:hAnsi="Inter" w:cstheme="minorHAnsi"/>
          <w:color w:val="7030A0"/>
        </w:rPr>
        <w:t xml:space="preserve">Who is responsible for keeping </w:t>
      </w:r>
      <w:r w:rsidR="006B01F9" w:rsidRPr="00012467">
        <w:rPr>
          <w:rFonts w:ascii="Inter" w:hAnsi="Inter" w:cstheme="minorHAnsi"/>
          <w:color w:val="7030A0"/>
        </w:rPr>
        <w:t xml:space="preserve">training </w:t>
      </w:r>
      <w:r w:rsidRPr="00012467">
        <w:rPr>
          <w:rFonts w:ascii="Inter" w:hAnsi="Inter" w:cstheme="minorHAnsi"/>
          <w:color w:val="7030A0"/>
        </w:rPr>
        <w:t>record</w:t>
      </w:r>
      <w:r w:rsidR="006B01F9" w:rsidRPr="00012467">
        <w:rPr>
          <w:rFonts w:ascii="Inter" w:hAnsi="Inter" w:cstheme="minorHAnsi"/>
          <w:color w:val="7030A0"/>
        </w:rPr>
        <w:t>s</w:t>
      </w:r>
      <w:r w:rsidRPr="00012467">
        <w:rPr>
          <w:rFonts w:ascii="Inter" w:hAnsi="Inter" w:cstheme="minorHAnsi"/>
          <w:color w:val="7030A0"/>
        </w:rPr>
        <w:t xml:space="preserve"> up to date?</w:t>
      </w:r>
    </w:p>
    <w:p w14:paraId="753A77A7" w14:textId="47F0C708" w:rsidR="005F7E7C" w:rsidRPr="00012467" w:rsidRDefault="005F7E7C" w:rsidP="004A06CE">
      <w:pPr>
        <w:pStyle w:val="ListParagraph"/>
        <w:numPr>
          <w:ilvl w:val="0"/>
          <w:numId w:val="7"/>
        </w:numPr>
        <w:spacing w:after="0" w:line="240" w:lineRule="auto"/>
        <w:rPr>
          <w:rFonts w:ascii="Inter" w:hAnsi="Inter" w:cstheme="minorHAnsi"/>
          <w:color w:val="7030A0"/>
        </w:rPr>
      </w:pPr>
      <w:r w:rsidRPr="00012467">
        <w:rPr>
          <w:rFonts w:ascii="Inter" w:hAnsi="Inter" w:cstheme="minorHAnsi"/>
          <w:color w:val="7030A0"/>
        </w:rPr>
        <w:t xml:space="preserve">Does the training cover off the </w:t>
      </w:r>
      <w:r w:rsidR="00E05A10" w:rsidRPr="00012467">
        <w:rPr>
          <w:rFonts w:ascii="Inter" w:hAnsi="Inter" w:cstheme="minorHAnsi"/>
          <w:color w:val="7030A0"/>
        </w:rPr>
        <w:t>AML responsibilities</w:t>
      </w:r>
      <w:r w:rsidRPr="00012467">
        <w:rPr>
          <w:rFonts w:ascii="Inter" w:hAnsi="Inter" w:cstheme="minorHAnsi"/>
          <w:color w:val="7030A0"/>
        </w:rPr>
        <w:t xml:space="preserve"> hel</w:t>
      </w:r>
      <w:r w:rsidR="00E05A10" w:rsidRPr="00012467">
        <w:rPr>
          <w:rFonts w:ascii="Inter" w:hAnsi="Inter" w:cstheme="minorHAnsi"/>
          <w:color w:val="7030A0"/>
        </w:rPr>
        <w:t>d by each employee?</w:t>
      </w:r>
    </w:p>
    <w:p w14:paraId="12F88523" w14:textId="7D122A39" w:rsidR="00E05A10" w:rsidRPr="00012467" w:rsidRDefault="00A067D9" w:rsidP="004A06CE">
      <w:pPr>
        <w:pStyle w:val="ListParagraph"/>
        <w:numPr>
          <w:ilvl w:val="0"/>
          <w:numId w:val="7"/>
        </w:numPr>
        <w:spacing w:after="0" w:line="240" w:lineRule="auto"/>
        <w:rPr>
          <w:rFonts w:ascii="Inter" w:hAnsi="Inter" w:cstheme="minorHAnsi"/>
          <w:color w:val="7030A0"/>
        </w:rPr>
      </w:pPr>
      <w:r w:rsidRPr="00012467">
        <w:rPr>
          <w:rFonts w:ascii="Inter" w:hAnsi="Inter" w:cstheme="minorHAnsi"/>
          <w:color w:val="7030A0"/>
        </w:rPr>
        <w:t>How often is AML training completed?</w:t>
      </w:r>
    </w:p>
    <w:p w14:paraId="74C40366" w14:textId="341FBAE7" w:rsidR="00794F08" w:rsidRPr="00012467" w:rsidRDefault="00794F08" w:rsidP="004A06CE">
      <w:pPr>
        <w:pStyle w:val="ListParagraph"/>
        <w:numPr>
          <w:ilvl w:val="0"/>
          <w:numId w:val="7"/>
        </w:numPr>
        <w:spacing w:after="0" w:line="240" w:lineRule="auto"/>
        <w:rPr>
          <w:rFonts w:ascii="Inter" w:hAnsi="Inter" w:cstheme="minorHAnsi"/>
          <w:color w:val="7030A0"/>
        </w:rPr>
      </w:pPr>
      <w:r w:rsidRPr="00012467">
        <w:rPr>
          <w:rFonts w:ascii="Inter" w:hAnsi="Inter" w:cstheme="minorHAnsi"/>
          <w:color w:val="7030A0"/>
        </w:rPr>
        <w:t>How is this training recorded?</w:t>
      </w:r>
    </w:p>
    <w:p w14:paraId="4051FCDF" w14:textId="77777777" w:rsidR="00C42319" w:rsidRPr="00012467" w:rsidRDefault="00C42319" w:rsidP="009E1DCA">
      <w:pPr>
        <w:pStyle w:val="Heading2"/>
        <w:rPr>
          <w:rFonts w:ascii="Inter" w:hAnsi="Inter"/>
        </w:rPr>
      </w:pPr>
    </w:p>
    <w:p w14:paraId="26402E34" w14:textId="5486DDC0" w:rsidR="00AD4139" w:rsidRPr="00012467" w:rsidRDefault="00C53BC6" w:rsidP="00C66AE1">
      <w:pPr>
        <w:pStyle w:val="Heading2"/>
        <w:rPr>
          <w:rFonts w:ascii="Inter" w:hAnsi="Inter" w:cstheme="majorHAnsi"/>
          <w:sz w:val="18"/>
          <w:szCs w:val="18"/>
          <w:u w:val="single"/>
        </w:rPr>
      </w:pPr>
      <w:bookmarkStart w:id="27" w:name="_Toc126840578"/>
      <w:r w:rsidRPr="00012467">
        <w:rPr>
          <w:rFonts w:ascii="Inter" w:hAnsi="Inter" w:cstheme="majorHAnsi"/>
          <w:sz w:val="24"/>
          <w:szCs w:val="24"/>
          <w:u w:val="single"/>
        </w:rPr>
        <w:t>What should be included in training?</w:t>
      </w:r>
      <w:bookmarkEnd w:id="27"/>
      <w:r w:rsidR="00EA5B82" w:rsidRPr="00012467">
        <w:rPr>
          <w:rFonts w:ascii="Inter" w:hAnsi="Inter" w:cstheme="majorHAnsi"/>
          <w:sz w:val="24"/>
          <w:szCs w:val="24"/>
          <w:u w:val="single"/>
        </w:rPr>
        <w:br/>
      </w:r>
    </w:p>
    <w:p w14:paraId="05ECF0DF" w14:textId="245EBF65" w:rsidR="00C53BC6" w:rsidRPr="00012467" w:rsidRDefault="00C53BC6" w:rsidP="00F65226">
      <w:pPr>
        <w:spacing w:after="0" w:line="240" w:lineRule="auto"/>
        <w:rPr>
          <w:rFonts w:ascii="Inter" w:hAnsi="Inter"/>
          <w:b/>
          <w:bCs/>
        </w:rPr>
      </w:pPr>
      <w:r w:rsidRPr="00012467">
        <w:rPr>
          <w:rFonts w:ascii="Inter" w:hAnsi="Inter"/>
          <w:b/>
          <w:bCs/>
        </w:rPr>
        <w:t>LSAG Guidance Section 8.3</w:t>
      </w:r>
    </w:p>
    <w:p w14:paraId="61E14B00" w14:textId="77777777" w:rsidR="00C42319" w:rsidRPr="00012467" w:rsidRDefault="00C42319" w:rsidP="00F65226">
      <w:pPr>
        <w:spacing w:after="0" w:line="240" w:lineRule="auto"/>
        <w:rPr>
          <w:rFonts w:ascii="Inter" w:hAnsi="Inter"/>
        </w:rPr>
      </w:pPr>
    </w:p>
    <w:p w14:paraId="46B40275" w14:textId="77777777" w:rsidR="00C53BC6" w:rsidRPr="00012467" w:rsidRDefault="00C53BC6" w:rsidP="00C53BC6">
      <w:pPr>
        <w:pStyle w:val="NoSpacing"/>
        <w:rPr>
          <w:rFonts w:ascii="Inter" w:hAnsi="Inter"/>
          <w:color w:val="7030A0"/>
        </w:rPr>
      </w:pPr>
      <w:r w:rsidRPr="00012467">
        <w:rPr>
          <w:rFonts w:ascii="Inter" w:hAnsi="Inter"/>
          <w:color w:val="7030A0"/>
        </w:rPr>
        <w:t>Your AML/CTF training programme should enable employees and agents to identify and</w:t>
      </w:r>
    </w:p>
    <w:p w14:paraId="02CF0DF6" w14:textId="49A39CDD" w:rsidR="00C53BC6" w:rsidRPr="00012467" w:rsidRDefault="00C53BC6" w:rsidP="00C53BC6">
      <w:pPr>
        <w:pStyle w:val="NoSpacing"/>
        <w:rPr>
          <w:rFonts w:ascii="Inter" w:hAnsi="Inter"/>
          <w:color w:val="7030A0"/>
        </w:rPr>
      </w:pPr>
      <w:r w:rsidRPr="00012467">
        <w:rPr>
          <w:rFonts w:ascii="Inter" w:hAnsi="Inter"/>
          <w:color w:val="7030A0"/>
        </w:rPr>
        <w:t>detect when risk indicators are present and relevant</w:t>
      </w:r>
      <w:r w:rsidR="006B01F9" w:rsidRPr="00012467">
        <w:rPr>
          <w:rFonts w:ascii="Inter" w:hAnsi="Inter"/>
          <w:color w:val="7030A0"/>
        </w:rPr>
        <w:t xml:space="preserve"> or material</w:t>
      </w:r>
      <w:r w:rsidRPr="00012467">
        <w:rPr>
          <w:rFonts w:ascii="Inter" w:hAnsi="Inter"/>
          <w:color w:val="7030A0"/>
        </w:rPr>
        <w:t xml:space="preserve"> changes in client activity</w:t>
      </w:r>
      <w:r w:rsidR="006B01F9" w:rsidRPr="00012467">
        <w:rPr>
          <w:rFonts w:ascii="Inter" w:hAnsi="Inter"/>
          <w:color w:val="7030A0"/>
        </w:rPr>
        <w:t>,</w:t>
      </w:r>
      <w:r w:rsidR="00970DE3" w:rsidRPr="00012467">
        <w:rPr>
          <w:rFonts w:ascii="Inter" w:hAnsi="Inter"/>
          <w:color w:val="7030A0"/>
        </w:rPr>
        <w:t xml:space="preserve"> </w:t>
      </w:r>
      <w:r w:rsidR="006B01F9" w:rsidRPr="00012467">
        <w:rPr>
          <w:rFonts w:ascii="Inter" w:hAnsi="Inter"/>
          <w:color w:val="7030A0"/>
        </w:rPr>
        <w:t>nature or circumstances</w:t>
      </w:r>
    </w:p>
    <w:p w14:paraId="47C86CC7" w14:textId="77777777" w:rsidR="00C53BC6" w:rsidRPr="00012467" w:rsidRDefault="00C53BC6" w:rsidP="00C53BC6">
      <w:pPr>
        <w:pStyle w:val="NoSpacing"/>
        <w:rPr>
          <w:rFonts w:ascii="Inter" w:hAnsi="Inter"/>
        </w:rPr>
      </w:pPr>
    </w:p>
    <w:p w14:paraId="5C574678" w14:textId="1D05B5B5" w:rsidR="00C53BC6" w:rsidRPr="00012467" w:rsidRDefault="00C53BC6" w:rsidP="00F65226">
      <w:pPr>
        <w:spacing w:after="0" w:line="240" w:lineRule="auto"/>
        <w:rPr>
          <w:rFonts w:ascii="Inter" w:hAnsi="Inter"/>
          <w:color w:val="7030A0"/>
        </w:rPr>
      </w:pPr>
      <w:r w:rsidRPr="00012467">
        <w:rPr>
          <w:rFonts w:ascii="Inter" w:hAnsi="Inter"/>
          <w:color w:val="7030A0"/>
        </w:rPr>
        <w:t>The training should include:</w:t>
      </w:r>
    </w:p>
    <w:p w14:paraId="7F189234" w14:textId="77777777" w:rsidR="005211B4" w:rsidRPr="00012467" w:rsidRDefault="005211B4" w:rsidP="00F65226">
      <w:pPr>
        <w:spacing w:after="0" w:line="240" w:lineRule="auto"/>
        <w:rPr>
          <w:rFonts w:ascii="Inter" w:hAnsi="Inter"/>
          <w:color w:val="7030A0"/>
        </w:rPr>
      </w:pPr>
    </w:p>
    <w:p w14:paraId="35A97964" w14:textId="7722289D" w:rsidR="00C53BC6" w:rsidRPr="00012467" w:rsidRDefault="00C53BC6" w:rsidP="004A06CE">
      <w:pPr>
        <w:pStyle w:val="ListParagraph"/>
        <w:numPr>
          <w:ilvl w:val="0"/>
          <w:numId w:val="29"/>
        </w:numPr>
        <w:spacing w:after="0" w:line="240" w:lineRule="auto"/>
        <w:rPr>
          <w:rFonts w:ascii="Inter" w:hAnsi="Inter"/>
          <w:color w:val="7030A0"/>
        </w:rPr>
      </w:pPr>
      <w:r w:rsidRPr="00012467">
        <w:rPr>
          <w:rFonts w:ascii="Inter" w:hAnsi="Inter"/>
          <w:color w:val="7030A0"/>
        </w:rPr>
        <w:t>An explanation of the relevant law within the context of the services and products your practice supplies</w:t>
      </w:r>
    </w:p>
    <w:p w14:paraId="1D78A0DF" w14:textId="7D80DDC1" w:rsidR="00C53BC6" w:rsidRPr="00012467" w:rsidRDefault="00C53BC6" w:rsidP="004A06CE">
      <w:pPr>
        <w:pStyle w:val="ListParagraph"/>
        <w:numPr>
          <w:ilvl w:val="0"/>
          <w:numId w:val="29"/>
        </w:numPr>
        <w:spacing w:after="0" w:line="240" w:lineRule="auto"/>
        <w:rPr>
          <w:rFonts w:ascii="Inter" w:hAnsi="Inter"/>
          <w:color w:val="7030A0"/>
        </w:rPr>
      </w:pPr>
      <w:r w:rsidRPr="00012467">
        <w:rPr>
          <w:rFonts w:ascii="Inter" w:hAnsi="Inter"/>
          <w:color w:val="7030A0"/>
        </w:rPr>
        <w:t>AML/CTF ‘red flags’, risk assessment and an explanation of the risks identified in your PWRA.</w:t>
      </w:r>
    </w:p>
    <w:p w14:paraId="69CD3DAB" w14:textId="747CFC0E" w:rsidR="00C53BC6" w:rsidRPr="00012467" w:rsidRDefault="00C53BC6" w:rsidP="004A06CE">
      <w:pPr>
        <w:pStyle w:val="ListParagraph"/>
        <w:numPr>
          <w:ilvl w:val="0"/>
          <w:numId w:val="29"/>
        </w:numPr>
        <w:spacing w:after="0" w:line="240" w:lineRule="auto"/>
        <w:rPr>
          <w:rFonts w:ascii="Inter" w:hAnsi="Inter"/>
          <w:color w:val="7030A0"/>
        </w:rPr>
      </w:pPr>
      <w:r w:rsidRPr="00012467">
        <w:rPr>
          <w:rFonts w:ascii="Inter" w:hAnsi="Inter"/>
          <w:color w:val="7030A0"/>
        </w:rPr>
        <w:t>AML/CTF policies, controls, and procedures, including CDD and EDD as applied in your practice</w:t>
      </w:r>
    </w:p>
    <w:p w14:paraId="4CE47FC9" w14:textId="1F07A66C" w:rsidR="00C53BC6" w:rsidRPr="00012467" w:rsidRDefault="00C53BC6" w:rsidP="004A06CE">
      <w:pPr>
        <w:pStyle w:val="ListParagraph"/>
        <w:numPr>
          <w:ilvl w:val="0"/>
          <w:numId w:val="29"/>
        </w:numPr>
        <w:spacing w:after="0" w:line="240" w:lineRule="auto"/>
        <w:rPr>
          <w:rFonts w:ascii="Inter" w:hAnsi="Inter"/>
          <w:color w:val="7030A0"/>
        </w:rPr>
      </w:pPr>
      <w:r w:rsidRPr="00012467">
        <w:rPr>
          <w:rFonts w:ascii="Inter" w:hAnsi="Inter"/>
          <w:color w:val="7030A0"/>
        </w:rPr>
        <w:t>Identifying suspicious activity</w:t>
      </w:r>
      <w:r w:rsidR="006B01F9" w:rsidRPr="00012467">
        <w:rPr>
          <w:rFonts w:ascii="Inter" w:hAnsi="Inter"/>
          <w:color w:val="7030A0"/>
        </w:rPr>
        <w:t>, tipping off</w:t>
      </w:r>
      <w:r w:rsidRPr="00012467">
        <w:rPr>
          <w:rFonts w:ascii="Inter" w:hAnsi="Inter"/>
          <w:color w:val="7030A0"/>
        </w:rPr>
        <w:t xml:space="preserve"> and the processes for internal reportin</w:t>
      </w:r>
      <w:r w:rsidR="003F0DCF" w:rsidRPr="00012467">
        <w:rPr>
          <w:rFonts w:ascii="Inter" w:hAnsi="Inter"/>
          <w:color w:val="7030A0"/>
        </w:rPr>
        <w:t>g</w:t>
      </w:r>
    </w:p>
    <w:p w14:paraId="42E3F70A" w14:textId="73AD1EA5" w:rsidR="00C53BC6" w:rsidRPr="00012467" w:rsidRDefault="00C53BC6" w:rsidP="004A06CE">
      <w:pPr>
        <w:pStyle w:val="ListParagraph"/>
        <w:numPr>
          <w:ilvl w:val="0"/>
          <w:numId w:val="29"/>
        </w:numPr>
        <w:spacing w:after="0" w:line="240" w:lineRule="auto"/>
        <w:rPr>
          <w:rFonts w:ascii="Inter" w:hAnsi="Inter"/>
          <w:color w:val="7030A0"/>
        </w:rPr>
      </w:pPr>
      <w:r w:rsidRPr="00012467">
        <w:rPr>
          <w:rFonts w:ascii="Inter" w:hAnsi="Inter"/>
          <w:color w:val="7030A0"/>
        </w:rPr>
        <w:t>Record Keeping and Data protection requirements</w:t>
      </w:r>
      <w:r w:rsidR="005211B4" w:rsidRPr="00012467">
        <w:rPr>
          <w:rFonts w:ascii="Inter" w:hAnsi="Inter"/>
          <w:color w:val="7030A0"/>
        </w:rPr>
        <w:t>.</w:t>
      </w:r>
    </w:p>
    <w:p w14:paraId="139C81C7" w14:textId="77777777" w:rsidR="00C42319" w:rsidRPr="00012467" w:rsidRDefault="00C42319" w:rsidP="00A122A3">
      <w:pPr>
        <w:pStyle w:val="ListParagraph"/>
        <w:spacing w:after="0" w:line="240" w:lineRule="auto"/>
        <w:rPr>
          <w:rFonts w:ascii="Inter" w:hAnsi="Inter"/>
          <w:color w:val="7030A0"/>
        </w:rPr>
      </w:pPr>
    </w:p>
    <w:p w14:paraId="6101165F" w14:textId="762B6949" w:rsidR="00C53BC6" w:rsidRPr="00012467" w:rsidRDefault="00C53BC6" w:rsidP="00F65226">
      <w:pPr>
        <w:spacing w:after="0" w:line="240" w:lineRule="auto"/>
        <w:rPr>
          <w:rFonts w:ascii="Inter" w:hAnsi="Inter"/>
          <w:color w:val="7030A0"/>
        </w:rPr>
      </w:pPr>
      <w:r w:rsidRPr="00012467">
        <w:rPr>
          <w:rFonts w:ascii="Inter" w:hAnsi="Inter"/>
          <w:color w:val="7030A0"/>
        </w:rPr>
        <w:t xml:space="preserve">You should take a risk-based approach to how often training should take place, however some form of high-level basic AML awareness/refresher training should be completed annually across all relevant employees. </w:t>
      </w:r>
    </w:p>
    <w:p w14:paraId="7A7305FC" w14:textId="77777777" w:rsidR="00C42319" w:rsidRPr="00012467" w:rsidRDefault="00C42319" w:rsidP="00F65226">
      <w:pPr>
        <w:spacing w:after="0" w:line="240" w:lineRule="auto"/>
        <w:rPr>
          <w:rFonts w:ascii="Inter" w:hAnsi="Inter"/>
          <w:color w:val="7030A0"/>
        </w:rPr>
      </w:pPr>
    </w:p>
    <w:p w14:paraId="4BF27B03" w14:textId="37176715" w:rsidR="00740749" w:rsidRPr="00012467" w:rsidRDefault="00740749" w:rsidP="00740749">
      <w:pPr>
        <w:pStyle w:val="Heading1"/>
        <w:rPr>
          <w:rFonts w:ascii="Inter" w:hAnsi="Inter" w:cstheme="minorHAnsi"/>
          <w:sz w:val="18"/>
          <w:szCs w:val="18"/>
          <w:u w:val="single"/>
        </w:rPr>
      </w:pPr>
      <w:bookmarkStart w:id="28" w:name="_Toc126840579"/>
      <w:r w:rsidRPr="00012467">
        <w:rPr>
          <w:rFonts w:ascii="Inter" w:hAnsi="Inter" w:cstheme="minorHAnsi"/>
          <w:u w:val="single"/>
        </w:rPr>
        <w:lastRenderedPageBreak/>
        <w:t xml:space="preserve">Internal </w:t>
      </w:r>
      <w:r w:rsidR="00B537D2" w:rsidRPr="00012467">
        <w:rPr>
          <w:rFonts w:ascii="Inter" w:hAnsi="Inter" w:cstheme="minorHAnsi"/>
          <w:u w:val="single"/>
        </w:rPr>
        <w:t>C</w:t>
      </w:r>
      <w:r w:rsidRPr="00012467">
        <w:rPr>
          <w:rFonts w:ascii="Inter" w:hAnsi="Inter" w:cstheme="minorHAnsi"/>
          <w:u w:val="single"/>
        </w:rPr>
        <w:t>ontrols</w:t>
      </w:r>
      <w:r w:rsidR="006B01F9" w:rsidRPr="00012467">
        <w:rPr>
          <w:rFonts w:ascii="Inter" w:hAnsi="Inter" w:cstheme="minorHAnsi"/>
          <w:u w:val="single"/>
        </w:rPr>
        <w:t xml:space="preserve"> &amp; Governance</w:t>
      </w:r>
      <w:bookmarkEnd w:id="28"/>
      <w:r w:rsidR="00AC5243" w:rsidRPr="00012467">
        <w:rPr>
          <w:rFonts w:ascii="Inter" w:hAnsi="Inter" w:cstheme="minorHAnsi"/>
          <w:u w:val="single"/>
        </w:rPr>
        <w:br/>
      </w:r>
    </w:p>
    <w:p w14:paraId="210E0854" w14:textId="4A832939" w:rsidR="00740749" w:rsidRPr="00012467" w:rsidRDefault="00740749" w:rsidP="00740749">
      <w:pPr>
        <w:rPr>
          <w:rFonts w:ascii="Inter" w:hAnsi="Inter"/>
          <w:b/>
          <w:bCs/>
        </w:rPr>
      </w:pPr>
      <w:r w:rsidRPr="00012467">
        <w:rPr>
          <w:rFonts w:ascii="Inter" w:hAnsi="Inter"/>
          <w:b/>
          <w:bCs/>
        </w:rPr>
        <w:t>LSAG guidance Section 9</w:t>
      </w:r>
    </w:p>
    <w:p w14:paraId="24D13A90" w14:textId="23C92053" w:rsidR="00740749" w:rsidRPr="00012467" w:rsidRDefault="000749A9" w:rsidP="00740749">
      <w:pPr>
        <w:pStyle w:val="NoSpacing"/>
        <w:rPr>
          <w:rFonts w:ascii="Inter" w:hAnsi="Inter"/>
          <w:color w:val="7030A0"/>
        </w:rPr>
      </w:pPr>
      <w:r w:rsidRPr="00012467">
        <w:rPr>
          <w:rFonts w:ascii="Inter" w:hAnsi="Inter"/>
          <w:color w:val="7030A0"/>
        </w:rPr>
        <w:t xml:space="preserve">Dependent </w:t>
      </w:r>
      <w:r w:rsidR="00740749" w:rsidRPr="00012467">
        <w:rPr>
          <w:rFonts w:ascii="Inter" w:hAnsi="Inter"/>
          <w:color w:val="7030A0"/>
        </w:rPr>
        <w:t xml:space="preserve">on the size and nature of your practice, it may be necessary to evidence you have adequate controls in place to audit the adequacy and effectiveness of your PCPs. </w:t>
      </w:r>
    </w:p>
    <w:p w14:paraId="4CE9734B" w14:textId="32F8DEB0" w:rsidR="00740749" w:rsidRPr="00012467" w:rsidRDefault="00740749" w:rsidP="00740749">
      <w:pPr>
        <w:pStyle w:val="NoSpacing"/>
        <w:rPr>
          <w:rFonts w:ascii="Inter" w:hAnsi="Inter"/>
          <w:color w:val="7030A0"/>
        </w:rPr>
      </w:pPr>
    </w:p>
    <w:p w14:paraId="1083C2A2" w14:textId="702ECB45" w:rsidR="00740749" w:rsidRPr="00012467" w:rsidRDefault="00740749" w:rsidP="00740749">
      <w:pPr>
        <w:pStyle w:val="NoSpacing"/>
        <w:rPr>
          <w:rFonts w:ascii="Inter" w:hAnsi="Inter"/>
          <w:color w:val="7030A0"/>
        </w:rPr>
      </w:pPr>
      <w:r w:rsidRPr="00012467">
        <w:rPr>
          <w:rFonts w:ascii="Inter" w:hAnsi="Inter"/>
          <w:color w:val="7030A0"/>
        </w:rPr>
        <w:t xml:space="preserve">The purpose of an independent audit function is to examine, evaluate and make recommendations regarding the adequacy and effectiveness of your PCPs. </w:t>
      </w:r>
    </w:p>
    <w:p w14:paraId="4E3917FE" w14:textId="7F5A43E9" w:rsidR="006B01F9" w:rsidRPr="00012467" w:rsidRDefault="006B01F9" w:rsidP="00740749">
      <w:pPr>
        <w:pStyle w:val="NoSpacing"/>
        <w:rPr>
          <w:rFonts w:ascii="Inter" w:hAnsi="Inter"/>
          <w:color w:val="7030A0"/>
        </w:rPr>
      </w:pPr>
    </w:p>
    <w:p w14:paraId="35F79B8B" w14:textId="77777777" w:rsidR="006B01F9" w:rsidRPr="00012467" w:rsidRDefault="006B01F9" w:rsidP="006B01F9">
      <w:pPr>
        <w:pStyle w:val="NoSpacing"/>
        <w:rPr>
          <w:rFonts w:ascii="Inter" w:hAnsi="Inter"/>
          <w:color w:val="7030A0"/>
        </w:rPr>
      </w:pPr>
      <w:r w:rsidRPr="00012467">
        <w:rPr>
          <w:rFonts w:ascii="Inter" w:hAnsi="Inter"/>
          <w:color w:val="7030A0"/>
        </w:rPr>
        <w:t xml:space="preserve">This section should also include information on employee screening – both at pre-employment and on an ongoing basis. </w:t>
      </w:r>
    </w:p>
    <w:p w14:paraId="44EC3D47" w14:textId="77777777" w:rsidR="006B01F9" w:rsidRPr="00012467" w:rsidRDefault="006B01F9" w:rsidP="00740749">
      <w:pPr>
        <w:pStyle w:val="NoSpacing"/>
        <w:rPr>
          <w:rFonts w:ascii="Inter" w:hAnsi="Inter"/>
          <w:i/>
          <w:iCs/>
          <w:color w:val="7030A0"/>
        </w:rPr>
      </w:pPr>
    </w:p>
    <w:p w14:paraId="401C1EDB" w14:textId="11D88171" w:rsidR="00257D2C" w:rsidRPr="00012467" w:rsidRDefault="00257D2C" w:rsidP="00740749">
      <w:pPr>
        <w:pStyle w:val="NoSpacing"/>
        <w:rPr>
          <w:rFonts w:ascii="Inter" w:hAnsi="Inter"/>
          <w:i/>
          <w:iCs/>
          <w:color w:val="7030A0"/>
        </w:rPr>
      </w:pPr>
    </w:p>
    <w:p w14:paraId="41930767" w14:textId="7167D2FA" w:rsidR="00257D2C" w:rsidRPr="00012467" w:rsidRDefault="00257D2C" w:rsidP="00257D2C">
      <w:pPr>
        <w:rPr>
          <w:rFonts w:ascii="Inter" w:hAnsi="Inter" w:cstheme="minorHAnsi"/>
        </w:rPr>
      </w:pPr>
      <w:r w:rsidRPr="00012467">
        <w:rPr>
          <w:rFonts w:ascii="Inter" w:hAnsi="Inter" w:cstheme="minorHAnsi"/>
        </w:rPr>
        <w:t xml:space="preserve">To ensure </w:t>
      </w:r>
      <w:r w:rsidRPr="00012467">
        <w:rPr>
          <w:rFonts w:ascii="Inter" w:hAnsi="Inter" w:cstheme="minorHAnsi"/>
          <w:color w:val="FF0000"/>
        </w:rPr>
        <w:t xml:space="preserve">[PRACTICE NAME]’s </w:t>
      </w:r>
      <w:r w:rsidRPr="00012467">
        <w:rPr>
          <w:rFonts w:ascii="Inter" w:hAnsi="Inter" w:cstheme="minorHAnsi"/>
        </w:rPr>
        <w:t xml:space="preserve">compliance with LSAG guidance section 9, we take a risk-based approach to our audit requirements. </w:t>
      </w:r>
    </w:p>
    <w:p w14:paraId="10262C93" w14:textId="6D373E69" w:rsidR="006B01F9" w:rsidRPr="00012467" w:rsidRDefault="00257D2C" w:rsidP="00257D2C">
      <w:pPr>
        <w:rPr>
          <w:rFonts w:ascii="Inter" w:hAnsi="Inter" w:cstheme="minorHAnsi"/>
          <w:color w:val="7030A0"/>
        </w:rPr>
      </w:pPr>
      <w:r w:rsidRPr="00012467">
        <w:rPr>
          <w:rFonts w:ascii="Inter" w:hAnsi="Inter" w:cstheme="minorHAnsi"/>
          <w:color w:val="7030A0"/>
        </w:rPr>
        <w:t xml:space="preserve">Detail in full the practices approach to this, including </w:t>
      </w:r>
      <w:r w:rsidR="006B01F9" w:rsidRPr="00012467">
        <w:rPr>
          <w:rFonts w:ascii="Inter" w:hAnsi="Inter" w:cstheme="minorHAnsi"/>
          <w:color w:val="7030A0"/>
        </w:rPr>
        <w:t xml:space="preserve">who undertakes the audit, what knowledge, </w:t>
      </w:r>
      <w:r w:rsidR="00F334EB" w:rsidRPr="00012467">
        <w:rPr>
          <w:rFonts w:ascii="Inter" w:hAnsi="Inter" w:cstheme="minorHAnsi"/>
          <w:color w:val="7030A0"/>
        </w:rPr>
        <w:t>skills,</w:t>
      </w:r>
      <w:r w:rsidR="006B01F9" w:rsidRPr="00012467">
        <w:rPr>
          <w:rFonts w:ascii="Inter" w:hAnsi="Inter" w:cstheme="minorHAnsi"/>
          <w:color w:val="7030A0"/>
        </w:rPr>
        <w:t xml:space="preserve"> and competency they have, and the process by which independent audit is undertaken in</w:t>
      </w:r>
      <w:r w:rsidR="00F334EB" w:rsidRPr="00012467">
        <w:rPr>
          <w:rFonts w:ascii="Inter" w:hAnsi="Inter" w:cstheme="minorHAnsi"/>
          <w:color w:val="7030A0"/>
        </w:rPr>
        <w:t xml:space="preserve"> </w:t>
      </w:r>
      <w:r w:rsidRPr="00012467">
        <w:rPr>
          <w:rFonts w:ascii="Inter" w:hAnsi="Inter" w:cstheme="minorHAnsi"/>
          <w:color w:val="7030A0"/>
        </w:rPr>
        <w:t xml:space="preserve">your practice. </w:t>
      </w:r>
    </w:p>
    <w:p w14:paraId="39EA8346" w14:textId="61C7E2CC" w:rsidR="00257D2C" w:rsidRPr="00012467" w:rsidRDefault="00257D2C" w:rsidP="00F334EB">
      <w:pPr>
        <w:rPr>
          <w:rFonts w:ascii="Inter" w:hAnsi="Inter" w:cstheme="minorHAnsi"/>
          <w:color w:val="7030A0"/>
        </w:rPr>
      </w:pPr>
      <w:r w:rsidRPr="00012467">
        <w:rPr>
          <w:rFonts w:ascii="Inter" w:hAnsi="Inter" w:cstheme="minorHAnsi"/>
          <w:color w:val="7030A0"/>
        </w:rPr>
        <w:t>Please see LSAG guidance 9.3 onwards to assist with this.</w:t>
      </w:r>
      <w:r w:rsidR="00F334EB" w:rsidRPr="00012467">
        <w:rPr>
          <w:rFonts w:ascii="Inter" w:hAnsi="Inter" w:cstheme="minorHAnsi"/>
          <w:color w:val="7030A0"/>
        </w:rPr>
        <w:br/>
      </w:r>
    </w:p>
    <w:p w14:paraId="55AE4FE1" w14:textId="14E40146" w:rsidR="005D37D2" w:rsidRPr="00012467" w:rsidRDefault="005D37D2" w:rsidP="00433ECD">
      <w:pPr>
        <w:pStyle w:val="Heading1"/>
        <w:rPr>
          <w:rFonts w:ascii="Inter" w:hAnsi="Inter" w:cstheme="minorHAnsi"/>
          <w:sz w:val="18"/>
          <w:szCs w:val="18"/>
          <w:u w:val="single"/>
        </w:rPr>
      </w:pPr>
      <w:bookmarkStart w:id="29" w:name="_Toc126840580"/>
      <w:r w:rsidRPr="00012467">
        <w:rPr>
          <w:rFonts w:ascii="Inter" w:hAnsi="Inter" w:cstheme="minorHAnsi"/>
          <w:u w:val="single"/>
        </w:rPr>
        <w:t>Record keeping &amp; Data Protection</w:t>
      </w:r>
      <w:bookmarkEnd w:id="29"/>
      <w:r w:rsidR="00AC5243" w:rsidRPr="00012467">
        <w:rPr>
          <w:rFonts w:ascii="Inter" w:hAnsi="Inter" w:cstheme="minorHAnsi"/>
          <w:u w:val="single"/>
        </w:rPr>
        <w:br/>
      </w:r>
    </w:p>
    <w:p w14:paraId="1F52870E" w14:textId="4542E734" w:rsidR="002B06DA" w:rsidRPr="00012467" w:rsidRDefault="002B06DA" w:rsidP="00F65226">
      <w:pPr>
        <w:spacing w:after="0" w:line="240" w:lineRule="auto"/>
        <w:rPr>
          <w:rFonts w:ascii="Inter" w:hAnsi="Inter" w:cstheme="minorHAnsi"/>
          <w:b/>
          <w:bCs/>
        </w:rPr>
      </w:pPr>
      <w:r w:rsidRPr="00012467">
        <w:rPr>
          <w:rFonts w:ascii="Inter" w:hAnsi="Inter" w:cstheme="minorHAnsi"/>
          <w:b/>
          <w:bCs/>
        </w:rPr>
        <w:t>LSAG Guidance Section 10.</w:t>
      </w:r>
    </w:p>
    <w:p w14:paraId="4D813309" w14:textId="77777777" w:rsidR="00C42319" w:rsidRPr="00012467" w:rsidRDefault="00C42319" w:rsidP="00F65226">
      <w:pPr>
        <w:spacing w:after="0" w:line="240" w:lineRule="auto"/>
        <w:rPr>
          <w:rFonts w:ascii="Inter" w:hAnsi="Inter" w:cstheme="minorHAnsi"/>
        </w:rPr>
      </w:pPr>
    </w:p>
    <w:p w14:paraId="6F249651" w14:textId="31DC6314" w:rsidR="00FF2B52" w:rsidRPr="00012467" w:rsidRDefault="00FF2B52" w:rsidP="00F65226">
      <w:pPr>
        <w:spacing w:after="0" w:line="240" w:lineRule="auto"/>
        <w:rPr>
          <w:rFonts w:ascii="Inter" w:hAnsi="Inter" w:cstheme="minorHAnsi"/>
        </w:rPr>
      </w:pPr>
      <w:r w:rsidRPr="00012467">
        <w:rPr>
          <w:rFonts w:ascii="Inter" w:hAnsi="Inter" w:cstheme="minorHAnsi"/>
        </w:rPr>
        <w:t xml:space="preserve">To ensure </w:t>
      </w:r>
      <w:r w:rsidRPr="00012467">
        <w:rPr>
          <w:rFonts w:ascii="Inter" w:hAnsi="Inter" w:cstheme="minorHAnsi"/>
          <w:color w:val="FF0000"/>
        </w:rPr>
        <w:t>[</w:t>
      </w:r>
      <w:r w:rsidR="00257D2C" w:rsidRPr="00012467">
        <w:rPr>
          <w:rFonts w:ascii="Inter" w:hAnsi="Inter" w:cstheme="minorHAnsi"/>
          <w:color w:val="FF0000"/>
        </w:rPr>
        <w:t>PRACTICE</w:t>
      </w:r>
      <w:r w:rsidRPr="00012467">
        <w:rPr>
          <w:rFonts w:ascii="Inter" w:hAnsi="Inter" w:cstheme="minorHAnsi"/>
          <w:color w:val="FF0000"/>
        </w:rPr>
        <w:t xml:space="preserve"> NAME]’s </w:t>
      </w:r>
      <w:r w:rsidRPr="00012467">
        <w:rPr>
          <w:rFonts w:ascii="Inter" w:hAnsi="Inter" w:cstheme="minorHAnsi"/>
        </w:rPr>
        <w:t xml:space="preserve">compliance with regulations, </w:t>
      </w:r>
      <w:r w:rsidR="009653F0" w:rsidRPr="00012467">
        <w:rPr>
          <w:rFonts w:ascii="Inter" w:hAnsi="Inter" w:cstheme="minorHAnsi"/>
        </w:rPr>
        <w:t xml:space="preserve">the implementation of rigorous record keeping procedures is vital. </w:t>
      </w:r>
    </w:p>
    <w:p w14:paraId="53488856" w14:textId="77777777" w:rsidR="00C42319" w:rsidRPr="00012467" w:rsidRDefault="00C42319" w:rsidP="00F65226">
      <w:pPr>
        <w:spacing w:after="0" w:line="240" w:lineRule="auto"/>
        <w:rPr>
          <w:rFonts w:ascii="Inter" w:hAnsi="Inter" w:cstheme="minorHAnsi"/>
          <w:color w:val="7030A0"/>
        </w:rPr>
      </w:pPr>
    </w:p>
    <w:p w14:paraId="1EE24A5C" w14:textId="7E156F53" w:rsidR="002B06DA" w:rsidRPr="00012467" w:rsidRDefault="002B06DA" w:rsidP="00F65226">
      <w:pPr>
        <w:spacing w:after="0" w:line="240" w:lineRule="auto"/>
        <w:rPr>
          <w:rFonts w:ascii="Inter" w:hAnsi="Inter" w:cstheme="minorHAnsi"/>
          <w:color w:val="7030A0"/>
        </w:rPr>
      </w:pPr>
      <w:r w:rsidRPr="00012467">
        <w:rPr>
          <w:rFonts w:ascii="Inter" w:hAnsi="Inter" w:cstheme="minorHAnsi"/>
          <w:color w:val="7030A0"/>
        </w:rPr>
        <w:t xml:space="preserve">All Practices must be able to demonstrate to their </w:t>
      </w:r>
      <w:r w:rsidR="00003420" w:rsidRPr="00012467">
        <w:rPr>
          <w:rFonts w:ascii="Inter" w:hAnsi="Inter" w:cstheme="minorHAnsi"/>
          <w:color w:val="7030A0"/>
        </w:rPr>
        <w:t>supervisor</w:t>
      </w:r>
      <w:r w:rsidRPr="00012467">
        <w:rPr>
          <w:rFonts w:ascii="Inter" w:hAnsi="Inter" w:cstheme="minorHAnsi"/>
          <w:color w:val="7030A0"/>
        </w:rPr>
        <w:t xml:space="preserve"> that they have </w:t>
      </w:r>
      <w:r w:rsidR="00494041" w:rsidRPr="00012467">
        <w:rPr>
          <w:rFonts w:ascii="Inter" w:hAnsi="Inter" w:cstheme="minorHAnsi"/>
          <w:color w:val="7030A0"/>
        </w:rPr>
        <w:t>adopted</w:t>
      </w:r>
      <w:r w:rsidRPr="00012467">
        <w:rPr>
          <w:rFonts w:ascii="Inter" w:hAnsi="Inter" w:cstheme="minorHAnsi"/>
          <w:color w:val="7030A0"/>
        </w:rPr>
        <w:t xml:space="preserve"> a risk-based approach to the management of AML/TF risk within their businesses. </w:t>
      </w:r>
      <w:r w:rsidR="00003420" w:rsidRPr="00012467">
        <w:rPr>
          <w:rFonts w:ascii="Inter" w:hAnsi="Inter" w:cstheme="minorHAnsi"/>
          <w:color w:val="7030A0"/>
        </w:rPr>
        <w:t>Th</w:t>
      </w:r>
      <w:r w:rsidRPr="00012467">
        <w:rPr>
          <w:rFonts w:ascii="Inter" w:hAnsi="Inter" w:cstheme="minorHAnsi"/>
          <w:color w:val="7030A0"/>
        </w:rPr>
        <w:t xml:space="preserve">is means retaining </w:t>
      </w:r>
      <w:r w:rsidR="00003420" w:rsidRPr="00012467">
        <w:rPr>
          <w:rFonts w:ascii="Inter" w:hAnsi="Inter" w:cstheme="minorHAnsi"/>
          <w:color w:val="7030A0"/>
        </w:rPr>
        <w:t>d</w:t>
      </w:r>
      <w:r w:rsidR="00494041" w:rsidRPr="00012467">
        <w:rPr>
          <w:rFonts w:ascii="Inter" w:hAnsi="Inter" w:cstheme="minorHAnsi"/>
          <w:color w:val="7030A0"/>
        </w:rPr>
        <w:t>ocuments</w:t>
      </w:r>
      <w:r w:rsidRPr="00012467">
        <w:rPr>
          <w:rFonts w:ascii="Inter" w:hAnsi="Inter" w:cstheme="minorHAnsi"/>
          <w:color w:val="7030A0"/>
        </w:rPr>
        <w:t xml:space="preserve"> and records to demonstrate this. </w:t>
      </w:r>
    </w:p>
    <w:p w14:paraId="175CB6D8" w14:textId="77777777" w:rsidR="005211B4" w:rsidRPr="00012467" w:rsidRDefault="005211B4" w:rsidP="00F65226">
      <w:pPr>
        <w:spacing w:after="0" w:line="240" w:lineRule="auto"/>
        <w:rPr>
          <w:rFonts w:ascii="Inter" w:hAnsi="Inter" w:cstheme="minorHAnsi"/>
          <w:color w:val="7030A0"/>
        </w:rPr>
      </w:pPr>
    </w:p>
    <w:p w14:paraId="4AAC5097" w14:textId="41D74748" w:rsidR="002B06DA" w:rsidRPr="00012467" w:rsidRDefault="002B06DA" w:rsidP="00F65226">
      <w:pPr>
        <w:spacing w:after="0" w:line="240" w:lineRule="auto"/>
        <w:rPr>
          <w:rFonts w:ascii="Inter" w:hAnsi="Inter" w:cstheme="minorHAnsi"/>
          <w:color w:val="7030A0"/>
        </w:rPr>
      </w:pPr>
      <w:r w:rsidRPr="00012467">
        <w:rPr>
          <w:rFonts w:ascii="Inter" w:hAnsi="Inter" w:cstheme="minorHAnsi"/>
          <w:color w:val="7030A0"/>
        </w:rPr>
        <w:t>Key areas for Record Keeping within the PCP will include:</w:t>
      </w:r>
    </w:p>
    <w:p w14:paraId="60271279" w14:textId="7C354BC1"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Risk Assessments</w:t>
      </w:r>
    </w:p>
    <w:p w14:paraId="55FC8FE9"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Customer Due Diligence and Enhanced Due Diligence</w:t>
      </w:r>
    </w:p>
    <w:p w14:paraId="5529C352"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Policies, Controls and Procedures</w:t>
      </w:r>
    </w:p>
    <w:p w14:paraId="3E370D49"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Training</w:t>
      </w:r>
    </w:p>
    <w:p w14:paraId="610583F5"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Internal Controls</w:t>
      </w:r>
    </w:p>
    <w:p w14:paraId="2BA43110"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Record Keeping</w:t>
      </w:r>
    </w:p>
    <w:p w14:paraId="54FAEB3C" w14:textId="77777777" w:rsidR="002B06DA"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Reliance</w:t>
      </w:r>
    </w:p>
    <w:p w14:paraId="66AA76C0" w14:textId="77777777" w:rsidR="009D4982" w:rsidRPr="00012467" w:rsidRDefault="002B06DA" w:rsidP="004A06CE">
      <w:pPr>
        <w:pStyle w:val="ListParagraph"/>
        <w:numPr>
          <w:ilvl w:val="0"/>
          <w:numId w:val="12"/>
        </w:numPr>
        <w:spacing w:after="0" w:line="240" w:lineRule="auto"/>
        <w:rPr>
          <w:rFonts w:ascii="Inter" w:hAnsi="Inter" w:cstheme="minorHAnsi"/>
          <w:color w:val="7030A0"/>
        </w:rPr>
      </w:pPr>
      <w:r w:rsidRPr="00012467">
        <w:rPr>
          <w:rFonts w:ascii="Inter" w:hAnsi="Inter" w:cstheme="minorHAnsi"/>
          <w:color w:val="7030A0"/>
        </w:rPr>
        <w:t>Data Protection</w:t>
      </w:r>
    </w:p>
    <w:p w14:paraId="61415CA1" w14:textId="77777777" w:rsidR="009D4982" w:rsidRPr="00012467" w:rsidRDefault="009D4982" w:rsidP="009D4982">
      <w:pPr>
        <w:spacing w:after="0" w:line="240" w:lineRule="auto"/>
        <w:rPr>
          <w:rFonts w:ascii="Inter" w:hAnsi="Inter" w:cstheme="minorHAnsi"/>
          <w:color w:val="7030A0"/>
        </w:rPr>
      </w:pPr>
    </w:p>
    <w:p w14:paraId="55B0AD80" w14:textId="30DE204D" w:rsidR="00AF7EE8" w:rsidRPr="00012467" w:rsidRDefault="009D4982" w:rsidP="009D4982">
      <w:pPr>
        <w:spacing w:after="0" w:line="240" w:lineRule="auto"/>
        <w:rPr>
          <w:rFonts w:ascii="Inter" w:hAnsi="Inter" w:cstheme="minorHAnsi"/>
          <w:color w:val="7030A0"/>
        </w:rPr>
      </w:pPr>
      <w:r w:rsidRPr="00012467">
        <w:rPr>
          <w:rFonts w:ascii="Inter" w:hAnsi="Inter" w:cstheme="minorHAnsi"/>
          <w:color w:val="7030A0"/>
        </w:rPr>
        <w:t>It is important to note that you must be able to demonstrate to your supervisor</w:t>
      </w:r>
      <w:r w:rsidR="00B97935" w:rsidRPr="00012467">
        <w:rPr>
          <w:rFonts w:ascii="Inter" w:hAnsi="Inter" w:cstheme="minorHAnsi"/>
          <w:color w:val="7030A0"/>
        </w:rPr>
        <w:t>y autho</w:t>
      </w:r>
      <w:r w:rsidR="00B710FB" w:rsidRPr="00012467">
        <w:rPr>
          <w:rFonts w:ascii="Inter" w:hAnsi="Inter" w:cstheme="minorHAnsi"/>
          <w:color w:val="7030A0"/>
        </w:rPr>
        <w:t>rity (The Law Society of Scotland) that the exten</w:t>
      </w:r>
      <w:r w:rsidR="00CF5FAE" w:rsidRPr="00012467">
        <w:rPr>
          <w:rFonts w:ascii="Inter" w:hAnsi="Inter" w:cstheme="minorHAnsi"/>
          <w:color w:val="7030A0"/>
        </w:rPr>
        <w:t>t</w:t>
      </w:r>
      <w:r w:rsidR="00B710FB" w:rsidRPr="00012467">
        <w:rPr>
          <w:rFonts w:ascii="Inter" w:hAnsi="Inter" w:cstheme="minorHAnsi"/>
          <w:color w:val="7030A0"/>
        </w:rPr>
        <w:t xml:space="preserve"> of the measures </w:t>
      </w:r>
      <w:r w:rsidR="00AF7EE8" w:rsidRPr="00012467">
        <w:rPr>
          <w:rFonts w:ascii="Inter" w:hAnsi="Inter" w:cstheme="minorHAnsi"/>
          <w:color w:val="7030A0"/>
        </w:rPr>
        <w:t xml:space="preserve">you have taken to satisfy R.28 are appropriate based on the risks of money laundering and terrorist financing. </w:t>
      </w:r>
    </w:p>
    <w:p w14:paraId="02D90736" w14:textId="77777777" w:rsidR="00AF7EE8" w:rsidRPr="00012467" w:rsidRDefault="00AF7EE8" w:rsidP="009D4982">
      <w:pPr>
        <w:spacing w:after="0" w:line="240" w:lineRule="auto"/>
        <w:rPr>
          <w:rFonts w:ascii="Inter" w:hAnsi="Inter" w:cstheme="minorHAnsi"/>
          <w:color w:val="7030A0"/>
        </w:rPr>
      </w:pPr>
    </w:p>
    <w:p w14:paraId="35264AB3" w14:textId="24876ABB" w:rsidR="00D23C4C" w:rsidRPr="00012467" w:rsidRDefault="008C3597" w:rsidP="009D4982">
      <w:pPr>
        <w:spacing w:after="0" w:line="240" w:lineRule="auto"/>
        <w:rPr>
          <w:rFonts w:ascii="Inter" w:hAnsi="Inter" w:cstheme="minorHAnsi"/>
          <w:color w:val="7030A0"/>
        </w:rPr>
      </w:pPr>
      <w:r w:rsidRPr="00012467">
        <w:rPr>
          <w:rFonts w:ascii="Inter" w:hAnsi="Inter" w:cstheme="minorHAnsi"/>
          <w:color w:val="7030A0"/>
        </w:rPr>
        <w:t>You must also ensure that sufficient supporting records a</w:t>
      </w:r>
      <w:r w:rsidR="003B415F" w:rsidRPr="00012467">
        <w:rPr>
          <w:rFonts w:ascii="Inter" w:hAnsi="Inter" w:cstheme="minorHAnsi"/>
          <w:color w:val="7030A0"/>
        </w:rPr>
        <w:t>re kept in order to allow the transaction to be reconstructed</w:t>
      </w:r>
      <w:r w:rsidR="00C904AC" w:rsidRPr="00012467">
        <w:rPr>
          <w:rFonts w:ascii="Inter" w:hAnsi="Inter" w:cstheme="minorHAnsi"/>
          <w:color w:val="7030A0"/>
        </w:rPr>
        <w:t xml:space="preserve"> as per r.40 and </w:t>
      </w:r>
      <w:r w:rsidR="003B415F" w:rsidRPr="00012467">
        <w:rPr>
          <w:rFonts w:ascii="Inter" w:hAnsi="Inter" w:cstheme="minorHAnsi"/>
          <w:color w:val="7030A0"/>
        </w:rPr>
        <w:t>LSAG 10.3</w:t>
      </w:r>
      <w:r w:rsidR="00C904AC" w:rsidRPr="00012467">
        <w:rPr>
          <w:rFonts w:ascii="Inter" w:hAnsi="Inter" w:cstheme="minorHAnsi"/>
          <w:color w:val="7030A0"/>
        </w:rPr>
        <w:t>.</w:t>
      </w:r>
      <w:r w:rsidR="00AC5243" w:rsidRPr="00012467">
        <w:rPr>
          <w:rFonts w:ascii="Inter" w:hAnsi="Inter" w:cstheme="minorHAnsi"/>
          <w:color w:val="7030A0"/>
        </w:rPr>
        <w:br/>
      </w:r>
    </w:p>
    <w:p w14:paraId="297A9E37" w14:textId="3D68C799" w:rsidR="002B06DA" w:rsidRPr="00012467" w:rsidRDefault="00921451" w:rsidP="00C66AE1">
      <w:pPr>
        <w:pStyle w:val="Heading2"/>
        <w:rPr>
          <w:rFonts w:ascii="Inter" w:hAnsi="Inter" w:cstheme="majorHAnsi"/>
          <w:sz w:val="18"/>
          <w:szCs w:val="18"/>
          <w:u w:val="single"/>
        </w:rPr>
      </w:pPr>
      <w:bookmarkStart w:id="30" w:name="_Toc126840581"/>
      <w:r w:rsidRPr="00012467">
        <w:rPr>
          <w:rFonts w:ascii="Inter" w:hAnsi="Inter" w:cstheme="majorHAnsi"/>
          <w:sz w:val="24"/>
          <w:szCs w:val="24"/>
          <w:u w:val="single"/>
        </w:rPr>
        <w:t>Retention Periods</w:t>
      </w:r>
      <w:bookmarkEnd w:id="30"/>
      <w:r w:rsidR="00AC5243" w:rsidRPr="00012467">
        <w:rPr>
          <w:rFonts w:ascii="Inter" w:hAnsi="Inter" w:cstheme="majorHAnsi"/>
          <w:sz w:val="24"/>
          <w:szCs w:val="24"/>
          <w:u w:val="single"/>
        </w:rPr>
        <w:br/>
      </w:r>
    </w:p>
    <w:p w14:paraId="1819D8B6" w14:textId="75F9A1DD" w:rsidR="005211B4" w:rsidRPr="00012467" w:rsidRDefault="00B348D3" w:rsidP="00A122A3">
      <w:pPr>
        <w:rPr>
          <w:rFonts w:ascii="Inter" w:hAnsi="Inter"/>
          <w:b/>
          <w:bCs/>
        </w:rPr>
      </w:pPr>
      <w:r w:rsidRPr="00012467">
        <w:rPr>
          <w:rFonts w:ascii="Inter" w:hAnsi="Inter"/>
          <w:b/>
          <w:bCs/>
        </w:rPr>
        <w:t>LSAG guidance 10.4</w:t>
      </w:r>
    </w:p>
    <w:p w14:paraId="0D269229" w14:textId="37A87643" w:rsidR="00921451" w:rsidRPr="00012467" w:rsidRDefault="00921451" w:rsidP="00F65226">
      <w:pPr>
        <w:spacing w:after="0" w:line="240" w:lineRule="auto"/>
        <w:rPr>
          <w:rFonts w:ascii="Inter" w:hAnsi="Inter" w:cstheme="minorHAnsi"/>
        </w:rPr>
      </w:pPr>
      <w:r w:rsidRPr="00012467">
        <w:rPr>
          <w:rFonts w:ascii="Inter" w:hAnsi="Inter" w:cstheme="minorHAnsi"/>
        </w:rPr>
        <w:t>The records must be retained for five years beginning on the date on which you know, or have reasonable grounds to believe:</w:t>
      </w:r>
    </w:p>
    <w:p w14:paraId="54CDC09B" w14:textId="77777777" w:rsidR="00C42319" w:rsidRPr="00012467" w:rsidRDefault="00C42319" w:rsidP="00F65226">
      <w:pPr>
        <w:spacing w:after="0" w:line="240" w:lineRule="auto"/>
        <w:rPr>
          <w:rFonts w:ascii="Inter" w:hAnsi="Inter" w:cstheme="minorHAnsi"/>
        </w:rPr>
      </w:pPr>
    </w:p>
    <w:p w14:paraId="6EA2C876" w14:textId="7290ACCA" w:rsidR="00D23C4C" w:rsidRPr="00012467" w:rsidRDefault="00921451" w:rsidP="004A06CE">
      <w:pPr>
        <w:pStyle w:val="NoSpacing"/>
        <w:numPr>
          <w:ilvl w:val="0"/>
          <w:numId w:val="32"/>
        </w:numPr>
        <w:rPr>
          <w:rFonts w:ascii="Inter" w:hAnsi="Inter"/>
        </w:rPr>
      </w:pPr>
      <w:r w:rsidRPr="00012467">
        <w:rPr>
          <w:rFonts w:ascii="Inter" w:hAnsi="Inter"/>
        </w:rPr>
        <w:t>that an occasional transaction is complete</w:t>
      </w:r>
    </w:p>
    <w:p w14:paraId="77B41A0C" w14:textId="271F162F" w:rsidR="00C66AE1" w:rsidRPr="00012467" w:rsidRDefault="00921451" w:rsidP="004A06CE">
      <w:pPr>
        <w:pStyle w:val="NoSpacing"/>
        <w:numPr>
          <w:ilvl w:val="0"/>
          <w:numId w:val="32"/>
        </w:numPr>
        <w:rPr>
          <w:rFonts w:ascii="Inter" w:eastAsiaTheme="majorEastAsia" w:hAnsi="Inter"/>
          <w:bCs/>
          <w:u w:val="single"/>
        </w:rPr>
      </w:pPr>
      <w:r w:rsidRPr="00012467">
        <w:rPr>
          <w:rFonts w:ascii="Inter" w:hAnsi="Inter"/>
        </w:rPr>
        <w:t>that the business relationship has come to an end for records relating to any transaction which occurs as part of a business relationship, or CDD measures taken in connection with that relationship.</w:t>
      </w:r>
      <w:r w:rsidRPr="00012467">
        <w:rPr>
          <w:rFonts w:ascii="Inter" w:hAnsi="Inter"/>
        </w:rPr>
        <w:cr/>
      </w:r>
    </w:p>
    <w:p w14:paraId="58DD829D" w14:textId="77777777" w:rsidR="00BE67E5" w:rsidRPr="00012467" w:rsidRDefault="00BE67E5" w:rsidP="00F65226">
      <w:pPr>
        <w:spacing w:after="0" w:line="240" w:lineRule="auto"/>
        <w:rPr>
          <w:rFonts w:ascii="Inter" w:hAnsi="Inter"/>
        </w:rPr>
      </w:pPr>
    </w:p>
    <w:p w14:paraId="0D11F588" w14:textId="695F4510" w:rsidR="000844BC" w:rsidRPr="00012467" w:rsidRDefault="00D61682" w:rsidP="008069FE">
      <w:pPr>
        <w:pStyle w:val="Heading1"/>
        <w:rPr>
          <w:rFonts w:ascii="Inter" w:hAnsi="Inter"/>
          <w:u w:val="single"/>
        </w:rPr>
      </w:pPr>
      <w:bookmarkStart w:id="31" w:name="_Toc126840582"/>
      <w:r w:rsidRPr="00012467">
        <w:rPr>
          <w:rFonts w:ascii="Inter" w:hAnsi="Inter" w:cstheme="minorHAnsi"/>
          <w:u w:val="single"/>
        </w:rPr>
        <w:t>Proliferation</w:t>
      </w:r>
      <w:r w:rsidRPr="00012467">
        <w:rPr>
          <w:rFonts w:ascii="Inter" w:hAnsi="Inter"/>
          <w:u w:val="single"/>
        </w:rPr>
        <w:t xml:space="preserve"> </w:t>
      </w:r>
      <w:r w:rsidR="000844BC" w:rsidRPr="00012467">
        <w:rPr>
          <w:rFonts w:ascii="Inter" w:hAnsi="Inter" w:cstheme="minorHAnsi"/>
          <w:u w:val="single"/>
        </w:rPr>
        <w:t>Financing</w:t>
      </w:r>
      <w:bookmarkEnd w:id="31"/>
    </w:p>
    <w:p w14:paraId="5AB9574A" w14:textId="77777777" w:rsidR="00F07272" w:rsidRPr="00012467" w:rsidRDefault="00F07272" w:rsidP="009D37FE">
      <w:pPr>
        <w:pStyle w:val="NoSpacing"/>
        <w:rPr>
          <w:rFonts w:ascii="Inter" w:hAnsi="Inter"/>
        </w:rPr>
      </w:pPr>
    </w:p>
    <w:p w14:paraId="6DD7F978" w14:textId="41A464BC" w:rsidR="00CF1FC6" w:rsidRPr="00012467" w:rsidRDefault="00CF1FC6" w:rsidP="009D37FE">
      <w:pPr>
        <w:pStyle w:val="NoSpacing"/>
        <w:rPr>
          <w:rFonts w:ascii="Inter" w:hAnsi="Inter"/>
          <w:color w:val="7030A0"/>
        </w:rPr>
      </w:pPr>
      <w:r w:rsidRPr="00012467">
        <w:rPr>
          <w:rFonts w:ascii="Inter" w:hAnsi="Inter"/>
          <w:color w:val="7030A0"/>
        </w:rPr>
        <w:t>In September 2022 </w:t>
      </w:r>
      <w:hyperlink r:id="rId23" w:tooltip="MLR's Amendment (no.2)" w:history="1">
        <w:r w:rsidRPr="00012467">
          <w:rPr>
            <w:rStyle w:val="Hyperlink"/>
            <w:rFonts w:ascii="Inter" w:hAnsi="Inter" w:cstheme="minorHAnsi"/>
            <w:color w:val="7030A0"/>
          </w:rPr>
          <w:t>The Money Laundering and Terrorist Financing (Amendment) (No. 2) Regulations 2022</w:t>
        </w:r>
      </w:hyperlink>
      <w:r w:rsidRPr="00012467">
        <w:rPr>
          <w:rFonts w:ascii="Inter" w:hAnsi="Inter"/>
          <w:color w:val="7030A0"/>
        </w:rPr>
        <w:t> came into force and saw the introduction of the requirement for practices to identify and mitigate the risk of Proliferation Financing (PF)</w:t>
      </w:r>
    </w:p>
    <w:p w14:paraId="32AE6980" w14:textId="77777777" w:rsidR="00BF517F" w:rsidRPr="00012467" w:rsidRDefault="00BF517F" w:rsidP="009D37FE">
      <w:pPr>
        <w:pStyle w:val="NoSpacing"/>
        <w:rPr>
          <w:rFonts w:ascii="Inter" w:hAnsi="Inter"/>
          <w:color w:val="7030A0"/>
        </w:rPr>
      </w:pPr>
    </w:p>
    <w:p w14:paraId="14B23FB4" w14:textId="3E1A7A32" w:rsidR="009D37FE" w:rsidRPr="00012467" w:rsidRDefault="00CF1FC6" w:rsidP="009D37FE">
      <w:pPr>
        <w:pStyle w:val="NoSpacing"/>
        <w:rPr>
          <w:rFonts w:ascii="Inter" w:hAnsi="Inter"/>
          <w:color w:val="7030A0"/>
        </w:rPr>
      </w:pPr>
      <w:r w:rsidRPr="00012467">
        <w:rPr>
          <w:rFonts w:ascii="Inter" w:hAnsi="Inter"/>
          <w:color w:val="7030A0"/>
        </w:rPr>
        <w:t xml:space="preserve">All </w:t>
      </w:r>
      <w:r w:rsidR="005110C2" w:rsidRPr="00012467">
        <w:rPr>
          <w:rFonts w:ascii="Inter" w:hAnsi="Inter"/>
          <w:color w:val="7030A0"/>
        </w:rPr>
        <w:t>p</w:t>
      </w:r>
      <w:r w:rsidRPr="00012467">
        <w:rPr>
          <w:rFonts w:ascii="Inter" w:hAnsi="Inter"/>
          <w:color w:val="7030A0"/>
        </w:rPr>
        <w:t>ractices in scope of the regulations are asked to consider the definition of PF under r.16A and to (dependent on size and nature)</w:t>
      </w:r>
      <w:r w:rsidR="005B1FA6" w:rsidRPr="00012467">
        <w:rPr>
          <w:rFonts w:ascii="Inter" w:hAnsi="Inter"/>
          <w:color w:val="7030A0"/>
        </w:rPr>
        <w:t xml:space="preserve"> i</w:t>
      </w:r>
      <w:r w:rsidRPr="00012467">
        <w:rPr>
          <w:rFonts w:ascii="Inter" w:hAnsi="Inter"/>
          <w:color w:val="7030A0"/>
        </w:rPr>
        <w:t xml:space="preserve">ncorporate PF into their existing Practice Wide Risk Assessment (PWRA) (r.18) and use this to inform </w:t>
      </w:r>
      <w:r w:rsidR="005B1FA6" w:rsidRPr="00012467">
        <w:rPr>
          <w:rFonts w:ascii="Inter" w:hAnsi="Inter"/>
          <w:color w:val="7030A0"/>
        </w:rPr>
        <w:t xml:space="preserve">the </w:t>
      </w:r>
      <w:r w:rsidR="003D5111" w:rsidRPr="00012467">
        <w:rPr>
          <w:rFonts w:ascii="Inter" w:hAnsi="Inter"/>
          <w:color w:val="7030A0"/>
        </w:rPr>
        <w:t>PCPs</w:t>
      </w:r>
      <w:r w:rsidRPr="00012467">
        <w:rPr>
          <w:rFonts w:ascii="Inter" w:hAnsi="Inter"/>
          <w:color w:val="7030A0"/>
        </w:rPr>
        <w:t xml:space="preserve"> in line with r.18A and r.19A</w:t>
      </w:r>
      <w:r w:rsidR="005B1FA6" w:rsidRPr="00012467">
        <w:rPr>
          <w:rFonts w:ascii="Inter" w:hAnsi="Inter"/>
          <w:color w:val="7030A0"/>
        </w:rPr>
        <w:t>.</w:t>
      </w:r>
      <w:r w:rsidRPr="00012467">
        <w:rPr>
          <w:rFonts w:ascii="Inter" w:hAnsi="Inter"/>
          <w:color w:val="7030A0"/>
        </w:rPr>
        <w:br/>
      </w:r>
    </w:p>
    <w:p w14:paraId="0386DCEE" w14:textId="4DDC3A37" w:rsidR="00CF1FC6" w:rsidRPr="00012467" w:rsidRDefault="00CF1FC6" w:rsidP="009D37FE">
      <w:pPr>
        <w:pStyle w:val="NoSpacing"/>
        <w:rPr>
          <w:rFonts w:ascii="Inter" w:hAnsi="Inter"/>
          <w:color w:val="7030A0"/>
        </w:rPr>
      </w:pPr>
      <w:r w:rsidRPr="00012467">
        <w:rPr>
          <w:rFonts w:ascii="Inter" w:hAnsi="Inter"/>
          <w:color w:val="7030A0"/>
        </w:rPr>
        <w:t>Practices are also asked to consider the risk of PF across all regulatory requirements, including (but not limited to) client/matter risk assessments, CDD/EDD, relevant staff training, internal controls and record keeping.</w:t>
      </w:r>
    </w:p>
    <w:p w14:paraId="331FD1DB" w14:textId="77777777" w:rsidR="00DF44B6" w:rsidRPr="00012467" w:rsidRDefault="00DF44B6" w:rsidP="009D37FE">
      <w:pPr>
        <w:pStyle w:val="NoSpacing"/>
        <w:rPr>
          <w:rFonts w:ascii="Inter" w:hAnsi="Inter"/>
          <w:color w:val="7030A0"/>
        </w:rPr>
      </w:pPr>
    </w:p>
    <w:p w14:paraId="67D65972" w14:textId="03426342" w:rsidR="00CF1FC6" w:rsidRPr="00012467" w:rsidRDefault="00CF1FC6" w:rsidP="009D37FE">
      <w:pPr>
        <w:pStyle w:val="NoSpacing"/>
        <w:rPr>
          <w:rFonts w:ascii="Inter" w:hAnsi="Inter"/>
          <w:color w:val="7030A0"/>
        </w:rPr>
      </w:pPr>
      <w:r w:rsidRPr="00012467">
        <w:rPr>
          <w:rFonts w:ascii="Inter" w:hAnsi="Inter"/>
          <w:color w:val="7030A0"/>
        </w:rPr>
        <w:t xml:space="preserve">We ask that practices make themselves familiar with these compulsory additional requirements and continue to monitor and update their </w:t>
      </w:r>
      <w:r w:rsidR="00F07272" w:rsidRPr="00012467">
        <w:rPr>
          <w:rFonts w:ascii="Inter" w:hAnsi="Inter"/>
          <w:color w:val="7030A0"/>
        </w:rPr>
        <w:t>PCPs</w:t>
      </w:r>
      <w:r w:rsidRPr="00012467">
        <w:rPr>
          <w:rFonts w:ascii="Inter" w:hAnsi="Inter"/>
          <w:color w:val="7030A0"/>
        </w:rPr>
        <w:t xml:space="preserve"> accordingly.</w:t>
      </w:r>
    </w:p>
    <w:p w14:paraId="3D133CE2" w14:textId="77777777" w:rsidR="00F07272" w:rsidRPr="00012467" w:rsidRDefault="00F07272" w:rsidP="009D37FE">
      <w:pPr>
        <w:pStyle w:val="NoSpacing"/>
        <w:rPr>
          <w:rFonts w:ascii="Inter" w:hAnsi="Inter"/>
        </w:rPr>
      </w:pPr>
    </w:p>
    <w:p w14:paraId="25325317" w14:textId="77777777" w:rsidR="00CF1FC6" w:rsidRPr="00012467" w:rsidRDefault="00CF1FC6" w:rsidP="009D37FE">
      <w:pPr>
        <w:pStyle w:val="NoSpacing"/>
        <w:rPr>
          <w:rFonts w:ascii="Inter" w:hAnsi="Inter"/>
        </w:rPr>
      </w:pPr>
      <w:r w:rsidRPr="00012467">
        <w:rPr>
          <w:rFonts w:ascii="Inter" w:hAnsi="Inter"/>
        </w:rPr>
        <w:t>Additional resources regarding Proliferation Financing, it’s background and context:</w:t>
      </w:r>
    </w:p>
    <w:p w14:paraId="16AA69AE" w14:textId="77777777" w:rsidR="00CF1FC6" w:rsidRPr="00012467" w:rsidRDefault="00CF1FC6" w:rsidP="009D37FE">
      <w:pPr>
        <w:pStyle w:val="NoSpacing"/>
        <w:rPr>
          <w:rFonts w:ascii="Inter" w:hAnsi="Inter"/>
        </w:rPr>
      </w:pPr>
      <w:r w:rsidRPr="00012467">
        <w:rPr>
          <w:rFonts w:ascii="Inter" w:hAnsi="Inter"/>
        </w:rPr>
        <w:t>• </w:t>
      </w:r>
      <w:hyperlink r:id="rId24" w:tooltip="FATF's Guidance on Proliferation Financing Risk Assessment and Mitigation" w:history="1">
        <w:r w:rsidRPr="00012467">
          <w:rPr>
            <w:rStyle w:val="Hyperlink"/>
            <w:rFonts w:ascii="Inter" w:hAnsi="Inter" w:cstheme="minorHAnsi"/>
            <w:color w:val="002F5F"/>
          </w:rPr>
          <w:t>FATF’s Guidance on Proliferation Financing Risk Assessment and Mitigation</w:t>
        </w:r>
      </w:hyperlink>
      <w:r w:rsidRPr="00012467">
        <w:rPr>
          <w:rFonts w:ascii="Inter" w:hAnsi="Inter"/>
        </w:rPr>
        <w:br/>
        <w:t>• </w:t>
      </w:r>
      <w:hyperlink r:id="rId25" w:tooltip="HMT National Risk Assessment of Proliferation Financing" w:history="1">
        <w:r w:rsidRPr="00012467">
          <w:rPr>
            <w:rStyle w:val="Hyperlink"/>
            <w:rFonts w:ascii="Inter" w:hAnsi="Inter" w:cstheme="minorHAnsi"/>
            <w:color w:val="002F5F"/>
          </w:rPr>
          <w:t>HMT’s National Risk Assessment of Proliferation Financing</w:t>
        </w:r>
      </w:hyperlink>
    </w:p>
    <w:p w14:paraId="0D9DC2C0" w14:textId="77777777" w:rsidR="001367B1" w:rsidRPr="00012467" w:rsidRDefault="001367B1" w:rsidP="008069FE">
      <w:pPr>
        <w:rPr>
          <w:rFonts w:ascii="Inter" w:hAnsi="Inter"/>
          <w:color w:val="7030A0"/>
        </w:rPr>
      </w:pPr>
    </w:p>
    <w:p w14:paraId="24AA9826" w14:textId="77777777" w:rsidR="008069FE" w:rsidRPr="00012467" w:rsidRDefault="008069FE" w:rsidP="008069FE">
      <w:pPr>
        <w:rPr>
          <w:rFonts w:ascii="Inter" w:hAnsi="Inter"/>
        </w:rPr>
      </w:pPr>
    </w:p>
    <w:p w14:paraId="4596057A" w14:textId="77777777" w:rsidR="000844BC" w:rsidRPr="00012467" w:rsidRDefault="000844BC" w:rsidP="00F65226">
      <w:pPr>
        <w:spacing w:after="0" w:line="240" w:lineRule="auto"/>
        <w:rPr>
          <w:rFonts w:ascii="Inter" w:hAnsi="Inter"/>
        </w:rPr>
      </w:pPr>
    </w:p>
    <w:p w14:paraId="36813FB1" w14:textId="77777777" w:rsidR="000844BC" w:rsidRPr="00012467" w:rsidRDefault="000844BC" w:rsidP="00F65226">
      <w:pPr>
        <w:spacing w:after="0" w:line="240" w:lineRule="auto"/>
        <w:rPr>
          <w:rFonts w:ascii="Inter" w:hAnsi="Inter"/>
        </w:rPr>
      </w:pPr>
    </w:p>
    <w:sectPr w:rsidR="000844BC" w:rsidRPr="00012467">
      <w:headerReference w:type="even" r:id="rId26"/>
      <w:head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709EB" w14:textId="77777777" w:rsidR="00AD09A1" w:rsidRDefault="00AD09A1" w:rsidP="00460996">
      <w:pPr>
        <w:spacing w:after="0" w:line="240" w:lineRule="auto"/>
      </w:pPr>
      <w:r>
        <w:separator/>
      </w:r>
    </w:p>
  </w:endnote>
  <w:endnote w:type="continuationSeparator" w:id="0">
    <w:p w14:paraId="7481DCA0" w14:textId="77777777" w:rsidR="00AD09A1" w:rsidRDefault="00AD09A1" w:rsidP="00460996">
      <w:pPr>
        <w:spacing w:after="0" w:line="240" w:lineRule="auto"/>
      </w:pPr>
      <w:r>
        <w:continuationSeparator/>
      </w:r>
    </w:p>
  </w:endnote>
  <w:endnote w:type="continuationNotice" w:id="1">
    <w:p w14:paraId="705F6932" w14:textId="77777777" w:rsidR="00A84D33" w:rsidRDefault="00A84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89D0" w14:textId="77777777" w:rsidR="00AD09A1" w:rsidRDefault="00AD09A1" w:rsidP="00460996">
      <w:pPr>
        <w:spacing w:after="0" w:line="240" w:lineRule="auto"/>
      </w:pPr>
      <w:r>
        <w:separator/>
      </w:r>
    </w:p>
  </w:footnote>
  <w:footnote w:type="continuationSeparator" w:id="0">
    <w:p w14:paraId="45686D1F" w14:textId="77777777" w:rsidR="00AD09A1" w:rsidRDefault="00AD09A1" w:rsidP="00460996">
      <w:pPr>
        <w:spacing w:after="0" w:line="240" w:lineRule="auto"/>
      </w:pPr>
      <w:r>
        <w:continuationSeparator/>
      </w:r>
    </w:p>
  </w:footnote>
  <w:footnote w:type="continuationNotice" w:id="1">
    <w:p w14:paraId="7329D5B6" w14:textId="77777777" w:rsidR="00A84D33" w:rsidRDefault="00A84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3467" w14:textId="33086F0C" w:rsidR="00460996" w:rsidRDefault="00460996">
    <w:pPr>
      <w:pStyle w:val="Header"/>
    </w:pPr>
    <w:r>
      <w:rPr>
        <w:noProof/>
      </w:rPr>
      <mc:AlternateContent>
        <mc:Choice Requires="wps">
          <w:drawing>
            <wp:anchor distT="0" distB="0" distL="0" distR="0" simplePos="0" relativeHeight="251658241" behindDoc="0" locked="0" layoutInCell="1" allowOverlap="1" wp14:anchorId="6598EE68" wp14:editId="2897677B">
              <wp:simplePos x="635" y="635"/>
              <wp:positionH relativeFrom="page">
                <wp:align>center</wp:align>
              </wp:positionH>
              <wp:positionV relativeFrom="page">
                <wp:align>top</wp:align>
              </wp:positionV>
              <wp:extent cx="443865" cy="443865"/>
              <wp:effectExtent l="0" t="0" r="17780" b="12065"/>
              <wp:wrapNone/>
              <wp:docPr id="2075354775"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5D466" w14:textId="6BE22132"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8EE68" id="_x0000_t202" coordsize="21600,21600" o:spt="202" path="m,l,21600r21600,l21600,xe">
              <v:stroke joinstyle="miter"/>
              <v:path gradientshapeok="t" o:connecttype="rect"/>
            </v:shapetype>
            <v:shape id="Text Box 2" o:spid="_x0000_s1026" type="#_x0000_t202" alt="REGULATION - 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F5D466" w14:textId="6BE22132"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5AE26" w14:textId="16950A53" w:rsidR="00460996" w:rsidRDefault="00460996">
    <w:pPr>
      <w:pStyle w:val="Header"/>
    </w:pPr>
    <w:r>
      <w:rPr>
        <w:noProof/>
      </w:rPr>
      <mc:AlternateContent>
        <mc:Choice Requires="wps">
          <w:drawing>
            <wp:anchor distT="0" distB="0" distL="0" distR="0" simplePos="0" relativeHeight="251658242" behindDoc="0" locked="0" layoutInCell="1" allowOverlap="1" wp14:anchorId="6EB9C793" wp14:editId="073F16FB">
              <wp:simplePos x="914400" y="452927"/>
              <wp:positionH relativeFrom="page">
                <wp:align>center</wp:align>
              </wp:positionH>
              <wp:positionV relativeFrom="page">
                <wp:align>top</wp:align>
              </wp:positionV>
              <wp:extent cx="443865" cy="443865"/>
              <wp:effectExtent l="0" t="0" r="17780" b="12065"/>
              <wp:wrapNone/>
              <wp:docPr id="1091055899"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70504" w14:textId="0D784DBD"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9C793" id="_x0000_t202" coordsize="21600,21600" o:spt="202" path="m,l,21600r21600,l21600,xe">
              <v:stroke joinstyle="miter"/>
              <v:path gradientshapeok="t" o:connecttype="rect"/>
            </v:shapetype>
            <v:shape id="Text Box 3" o:spid="_x0000_s1027" type="#_x0000_t202" alt="REGULATION -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A70504" w14:textId="0D784DBD"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F7A0" w14:textId="3C5B06AD" w:rsidR="00460996" w:rsidRDefault="00460996">
    <w:pPr>
      <w:pStyle w:val="Header"/>
    </w:pPr>
    <w:r>
      <w:rPr>
        <w:noProof/>
      </w:rPr>
      <mc:AlternateContent>
        <mc:Choice Requires="wps">
          <w:drawing>
            <wp:anchor distT="0" distB="0" distL="0" distR="0" simplePos="0" relativeHeight="251658240" behindDoc="0" locked="0" layoutInCell="1" allowOverlap="1" wp14:anchorId="0B1BEF12" wp14:editId="1AC58AE1">
              <wp:simplePos x="635" y="635"/>
              <wp:positionH relativeFrom="page">
                <wp:align>center</wp:align>
              </wp:positionH>
              <wp:positionV relativeFrom="page">
                <wp:align>top</wp:align>
              </wp:positionV>
              <wp:extent cx="443865" cy="443865"/>
              <wp:effectExtent l="0" t="0" r="17780" b="12065"/>
              <wp:wrapNone/>
              <wp:docPr id="1805542756"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703D4" w14:textId="6E7AC9B5"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BEF12" id="_x0000_t202" coordsize="21600,21600" o:spt="202" path="m,l,21600r21600,l21600,xe">
              <v:stroke joinstyle="miter"/>
              <v:path gradientshapeok="t" o:connecttype="rect"/>
            </v:shapetype>
            <v:shape id="Text Box 1" o:spid="_x0000_s1028" type="#_x0000_t202" alt="REGULATION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A9703D4" w14:textId="6E7AC9B5" w:rsidR="00460996" w:rsidRPr="00460996" w:rsidRDefault="00460996" w:rsidP="00460996">
                    <w:pPr>
                      <w:spacing w:after="0"/>
                      <w:rPr>
                        <w:rFonts w:ascii="Calibri" w:eastAsia="Calibri" w:hAnsi="Calibri" w:cs="Calibri"/>
                        <w:noProof/>
                        <w:color w:val="000000"/>
                        <w:sz w:val="20"/>
                        <w:szCs w:val="20"/>
                      </w:rPr>
                    </w:pPr>
                    <w:r w:rsidRPr="00460996">
                      <w:rPr>
                        <w:rFonts w:ascii="Calibri" w:eastAsia="Calibri" w:hAnsi="Calibri" w:cs="Calibri"/>
                        <w:noProof/>
                        <w:color w:val="000000"/>
                        <w:sz w:val="20"/>
                        <w:szCs w:val="20"/>
                      </w:rPr>
                      <w:t>REGULATION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59D"/>
    <w:multiLevelType w:val="hybridMultilevel"/>
    <w:tmpl w:val="1E087F34"/>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E2813"/>
    <w:multiLevelType w:val="hybridMultilevel"/>
    <w:tmpl w:val="49FCC5A2"/>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E40EF"/>
    <w:multiLevelType w:val="hybridMultilevel"/>
    <w:tmpl w:val="8CC4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A31E5"/>
    <w:multiLevelType w:val="hybridMultilevel"/>
    <w:tmpl w:val="CDF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F17A8"/>
    <w:multiLevelType w:val="hybridMultilevel"/>
    <w:tmpl w:val="7294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F6F09"/>
    <w:multiLevelType w:val="hybridMultilevel"/>
    <w:tmpl w:val="D70C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40129"/>
    <w:multiLevelType w:val="hybridMultilevel"/>
    <w:tmpl w:val="62AA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225BE"/>
    <w:multiLevelType w:val="hybridMultilevel"/>
    <w:tmpl w:val="47C01122"/>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02178"/>
    <w:multiLevelType w:val="hybridMultilevel"/>
    <w:tmpl w:val="8516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90B42"/>
    <w:multiLevelType w:val="hybridMultilevel"/>
    <w:tmpl w:val="25C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50685"/>
    <w:multiLevelType w:val="hybridMultilevel"/>
    <w:tmpl w:val="7EC8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82266"/>
    <w:multiLevelType w:val="hybridMultilevel"/>
    <w:tmpl w:val="C5C6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25C43"/>
    <w:multiLevelType w:val="hybridMultilevel"/>
    <w:tmpl w:val="8FF8B074"/>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0667C"/>
    <w:multiLevelType w:val="hybridMultilevel"/>
    <w:tmpl w:val="C22EE764"/>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8145C"/>
    <w:multiLevelType w:val="hybridMultilevel"/>
    <w:tmpl w:val="5FCE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820A8"/>
    <w:multiLevelType w:val="hybridMultilevel"/>
    <w:tmpl w:val="2706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C5452"/>
    <w:multiLevelType w:val="hybridMultilevel"/>
    <w:tmpl w:val="38D0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D732B"/>
    <w:multiLevelType w:val="hybridMultilevel"/>
    <w:tmpl w:val="2C94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E3F40"/>
    <w:multiLevelType w:val="hybridMultilevel"/>
    <w:tmpl w:val="AEA0D8D0"/>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7647A"/>
    <w:multiLevelType w:val="hybridMultilevel"/>
    <w:tmpl w:val="C3DA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0047F"/>
    <w:multiLevelType w:val="hybridMultilevel"/>
    <w:tmpl w:val="736C55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CF79EF"/>
    <w:multiLevelType w:val="hybridMultilevel"/>
    <w:tmpl w:val="32F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47042"/>
    <w:multiLevelType w:val="hybridMultilevel"/>
    <w:tmpl w:val="BEC0867A"/>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E6899"/>
    <w:multiLevelType w:val="hybridMultilevel"/>
    <w:tmpl w:val="222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572C1"/>
    <w:multiLevelType w:val="hybridMultilevel"/>
    <w:tmpl w:val="4184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2730F"/>
    <w:multiLevelType w:val="hybridMultilevel"/>
    <w:tmpl w:val="93745968"/>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F72C9"/>
    <w:multiLevelType w:val="multilevel"/>
    <w:tmpl w:val="82C43746"/>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7" w15:restartNumberingAfterBreak="0">
    <w:nsid w:val="512F3E1A"/>
    <w:multiLevelType w:val="hybridMultilevel"/>
    <w:tmpl w:val="61DA4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E25946"/>
    <w:multiLevelType w:val="hybridMultilevel"/>
    <w:tmpl w:val="12C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9F7"/>
    <w:multiLevelType w:val="hybridMultilevel"/>
    <w:tmpl w:val="0F6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E3990"/>
    <w:multiLevelType w:val="hybridMultilevel"/>
    <w:tmpl w:val="F278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8056B"/>
    <w:multiLevelType w:val="hybridMultilevel"/>
    <w:tmpl w:val="32D68A32"/>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E318A"/>
    <w:multiLevelType w:val="hybridMultilevel"/>
    <w:tmpl w:val="961E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3485D"/>
    <w:multiLevelType w:val="hybridMultilevel"/>
    <w:tmpl w:val="CCC6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60728"/>
    <w:multiLevelType w:val="hybridMultilevel"/>
    <w:tmpl w:val="700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3C3E03"/>
    <w:multiLevelType w:val="hybridMultilevel"/>
    <w:tmpl w:val="BFBE54C6"/>
    <w:lvl w:ilvl="0" w:tplc="AD9CA79E">
      <w:start w:val="1"/>
      <w:numFmt w:val="bullet"/>
      <w:pStyle w:val="list0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1603DDC"/>
    <w:multiLevelType w:val="hybridMultilevel"/>
    <w:tmpl w:val="C888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462A3"/>
    <w:multiLevelType w:val="hybridMultilevel"/>
    <w:tmpl w:val="8AD2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E1DEB"/>
    <w:multiLevelType w:val="hybridMultilevel"/>
    <w:tmpl w:val="F29874D2"/>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713A9"/>
    <w:multiLevelType w:val="hybridMultilevel"/>
    <w:tmpl w:val="F6A84B1E"/>
    <w:lvl w:ilvl="0" w:tplc="4E14B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710742">
    <w:abstractNumId w:val="18"/>
  </w:num>
  <w:num w:numId="2" w16cid:durableId="821315499">
    <w:abstractNumId w:val="35"/>
  </w:num>
  <w:num w:numId="3" w16cid:durableId="1764911747">
    <w:abstractNumId w:val="26"/>
  </w:num>
  <w:num w:numId="4" w16cid:durableId="858936798">
    <w:abstractNumId w:val="38"/>
  </w:num>
  <w:num w:numId="5" w16cid:durableId="2115585952">
    <w:abstractNumId w:val="25"/>
  </w:num>
  <w:num w:numId="6" w16cid:durableId="638340363">
    <w:abstractNumId w:val="31"/>
  </w:num>
  <w:num w:numId="7" w16cid:durableId="493423917">
    <w:abstractNumId w:val="39"/>
  </w:num>
  <w:num w:numId="8" w16cid:durableId="64229235">
    <w:abstractNumId w:val="13"/>
  </w:num>
  <w:num w:numId="9" w16cid:durableId="742484249">
    <w:abstractNumId w:val="7"/>
  </w:num>
  <w:num w:numId="10" w16cid:durableId="1722904185">
    <w:abstractNumId w:val="22"/>
  </w:num>
  <w:num w:numId="11" w16cid:durableId="1012992547">
    <w:abstractNumId w:val="12"/>
  </w:num>
  <w:num w:numId="12" w16cid:durableId="88820479">
    <w:abstractNumId w:val="1"/>
  </w:num>
  <w:num w:numId="13" w16cid:durableId="1760246273">
    <w:abstractNumId w:val="36"/>
  </w:num>
  <w:num w:numId="14" w16cid:durableId="297106655">
    <w:abstractNumId w:val="19"/>
  </w:num>
  <w:num w:numId="15" w16cid:durableId="760300159">
    <w:abstractNumId w:val="9"/>
  </w:num>
  <w:num w:numId="16" w16cid:durableId="1026449120">
    <w:abstractNumId w:val="6"/>
  </w:num>
  <w:num w:numId="17" w16cid:durableId="2066561191">
    <w:abstractNumId w:val="15"/>
  </w:num>
  <w:num w:numId="18" w16cid:durableId="613757638">
    <w:abstractNumId w:val="23"/>
  </w:num>
  <w:num w:numId="19" w16cid:durableId="463616656">
    <w:abstractNumId w:val="11"/>
  </w:num>
  <w:num w:numId="20" w16cid:durableId="16392293">
    <w:abstractNumId w:val="21"/>
  </w:num>
  <w:num w:numId="21" w16cid:durableId="1446804852">
    <w:abstractNumId w:val="5"/>
  </w:num>
  <w:num w:numId="22" w16cid:durableId="169875550">
    <w:abstractNumId w:val="10"/>
  </w:num>
  <w:num w:numId="23" w16cid:durableId="2110194394">
    <w:abstractNumId w:val="32"/>
  </w:num>
  <w:num w:numId="24" w16cid:durableId="926228802">
    <w:abstractNumId w:val="2"/>
  </w:num>
  <w:num w:numId="25" w16cid:durableId="1202747323">
    <w:abstractNumId w:val="8"/>
  </w:num>
  <w:num w:numId="26" w16cid:durableId="1241597209">
    <w:abstractNumId w:val="3"/>
  </w:num>
  <w:num w:numId="27" w16cid:durableId="1838765427">
    <w:abstractNumId w:val="33"/>
  </w:num>
  <w:num w:numId="28" w16cid:durableId="1704550232">
    <w:abstractNumId w:val="29"/>
  </w:num>
  <w:num w:numId="29" w16cid:durableId="778525767">
    <w:abstractNumId w:val="28"/>
  </w:num>
  <w:num w:numId="30" w16cid:durableId="70155866">
    <w:abstractNumId w:val="0"/>
  </w:num>
  <w:num w:numId="31" w16cid:durableId="329723645">
    <w:abstractNumId w:val="27"/>
  </w:num>
  <w:num w:numId="32" w16cid:durableId="2094618614">
    <w:abstractNumId w:val="14"/>
  </w:num>
  <w:num w:numId="33" w16cid:durableId="1739284122">
    <w:abstractNumId w:val="16"/>
  </w:num>
  <w:num w:numId="34" w16cid:durableId="713240253">
    <w:abstractNumId w:val="24"/>
  </w:num>
  <w:num w:numId="35" w16cid:durableId="845824575">
    <w:abstractNumId w:val="20"/>
  </w:num>
  <w:num w:numId="36" w16cid:durableId="64109495">
    <w:abstractNumId w:val="4"/>
  </w:num>
  <w:num w:numId="37" w16cid:durableId="1854176533">
    <w:abstractNumId w:val="37"/>
  </w:num>
  <w:num w:numId="38" w16cid:durableId="826899782">
    <w:abstractNumId w:val="17"/>
  </w:num>
  <w:num w:numId="39" w16cid:durableId="280957802">
    <w:abstractNumId w:val="34"/>
  </w:num>
  <w:num w:numId="40" w16cid:durableId="263996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9"/>
    <w:rsid w:val="00000277"/>
    <w:rsid w:val="00003420"/>
    <w:rsid w:val="000114FE"/>
    <w:rsid w:val="00012047"/>
    <w:rsid w:val="00012467"/>
    <w:rsid w:val="00012784"/>
    <w:rsid w:val="00017BAE"/>
    <w:rsid w:val="00021308"/>
    <w:rsid w:val="00027483"/>
    <w:rsid w:val="00030528"/>
    <w:rsid w:val="00040B00"/>
    <w:rsid w:val="00041B52"/>
    <w:rsid w:val="0004302E"/>
    <w:rsid w:val="00051310"/>
    <w:rsid w:val="000518F9"/>
    <w:rsid w:val="00055807"/>
    <w:rsid w:val="00057A2B"/>
    <w:rsid w:val="00057D46"/>
    <w:rsid w:val="00066C1C"/>
    <w:rsid w:val="00067B59"/>
    <w:rsid w:val="00071146"/>
    <w:rsid w:val="000749A9"/>
    <w:rsid w:val="00080B46"/>
    <w:rsid w:val="00081825"/>
    <w:rsid w:val="000844BC"/>
    <w:rsid w:val="000868F8"/>
    <w:rsid w:val="00091CB1"/>
    <w:rsid w:val="0009246F"/>
    <w:rsid w:val="000A02AB"/>
    <w:rsid w:val="000A130B"/>
    <w:rsid w:val="000A1615"/>
    <w:rsid w:val="000A34C4"/>
    <w:rsid w:val="000A5585"/>
    <w:rsid w:val="000B192A"/>
    <w:rsid w:val="000B2677"/>
    <w:rsid w:val="000C027F"/>
    <w:rsid w:val="000C1848"/>
    <w:rsid w:val="000C4419"/>
    <w:rsid w:val="000E23A5"/>
    <w:rsid w:val="000E362D"/>
    <w:rsid w:val="000F5498"/>
    <w:rsid w:val="00101307"/>
    <w:rsid w:val="00102369"/>
    <w:rsid w:val="00105E45"/>
    <w:rsid w:val="00111205"/>
    <w:rsid w:val="001170C2"/>
    <w:rsid w:val="00125DA1"/>
    <w:rsid w:val="0013494E"/>
    <w:rsid w:val="001367B1"/>
    <w:rsid w:val="001459B2"/>
    <w:rsid w:val="001613D6"/>
    <w:rsid w:val="001619A2"/>
    <w:rsid w:val="00163675"/>
    <w:rsid w:val="00173128"/>
    <w:rsid w:val="00180C49"/>
    <w:rsid w:val="001A331F"/>
    <w:rsid w:val="001C540F"/>
    <w:rsid w:val="001C64B2"/>
    <w:rsid w:val="001C7DEE"/>
    <w:rsid w:val="001D4EDC"/>
    <w:rsid w:val="001E2E1D"/>
    <w:rsid w:val="001F5408"/>
    <w:rsid w:val="00201108"/>
    <w:rsid w:val="0020157D"/>
    <w:rsid w:val="002050B5"/>
    <w:rsid w:val="00205A23"/>
    <w:rsid w:val="002079C5"/>
    <w:rsid w:val="002206C4"/>
    <w:rsid w:val="00231327"/>
    <w:rsid w:val="00236141"/>
    <w:rsid w:val="00237ECD"/>
    <w:rsid w:val="002406AA"/>
    <w:rsid w:val="00243C2E"/>
    <w:rsid w:val="002453FE"/>
    <w:rsid w:val="00245847"/>
    <w:rsid w:val="002460CF"/>
    <w:rsid w:val="00247CBE"/>
    <w:rsid w:val="00257D2C"/>
    <w:rsid w:val="00262A2C"/>
    <w:rsid w:val="00263E99"/>
    <w:rsid w:val="00267D99"/>
    <w:rsid w:val="002742B0"/>
    <w:rsid w:val="002764AD"/>
    <w:rsid w:val="00283477"/>
    <w:rsid w:val="00284F02"/>
    <w:rsid w:val="00287BA5"/>
    <w:rsid w:val="002911E4"/>
    <w:rsid w:val="0029746D"/>
    <w:rsid w:val="002A0B7E"/>
    <w:rsid w:val="002A1A95"/>
    <w:rsid w:val="002B06DA"/>
    <w:rsid w:val="002C12C3"/>
    <w:rsid w:val="002E1F09"/>
    <w:rsid w:val="002F0993"/>
    <w:rsid w:val="002F2F69"/>
    <w:rsid w:val="002F64C1"/>
    <w:rsid w:val="00302A90"/>
    <w:rsid w:val="0030684D"/>
    <w:rsid w:val="00314C16"/>
    <w:rsid w:val="00314E61"/>
    <w:rsid w:val="00317FA2"/>
    <w:rsid w:val="00322C8C"/>
    <w:rsid w:val="00323A25"/>
    <w:rsid w:val="00336788"/>
    <w:rsid w:val="00342A7B"/>
    <w:rsid w:val="00345952"/>
    <w:rsid w:val="00362BCF"/>
    <w:rsid w:val="00363900"/>
    <w:rsid w:val="003639F7"/>
    <w:rsid w:val="00365998"/>
    <w:rsid w:val="0036739E"/>
    <w:rsid w:val="0037440E"/>
    <w:rsid w:val="00387022"/>
    <w:rsid w:val="00390B8E"/>
    <w:rsid w:val="003A0B79"/>
    <w:rsid w:val="003A28C0"/>
    <w:rsid w:val="003A4542"/>
    <w:rsid w:val="003A5F1C"/>
    <w:rsid w:val="003A68F2"/>
    <w:rsid w:val="003B415F"/>
    <w:rsid w:val="003B4C73"/>
    <w:rsid w:val="003D5111"/>
    <w:rsid w:val="003E73F1"/>
    <w:rsid w:val="003F0DCF"/>
    <w:rsid w:val="003F103F"/>
    <w:rsid w:val="003F159B"/>
    <w:rsid w:val="003F7E44"/>
    <w:rsid w:val="00402DDD"/>
    <w:rsid w:val="00412FD7"/>
    <w:rsid w:val="004143CD"/>
    <w:rsid w:val="00417B7A"/>
    <w:rsid w:val="0042112C"/>
    <w:rsid w:val="004243D6"/>
    <w:rsid w:val="00425BF1"/>
    <w:rsid w:val="004267C2"/>
    <w:rsid w:val="00433ECD"/>
    <w:rsid w:val="00450F13"/>
    <w:rsid w:val="00451AB5"/>
    <w:rsid w:val="00455092"/>
    <w:rsid w:val="00460996"/>
    <w:rsid w:val="004661AE"/>
    <w:rsid w:val="0047204D"/>
    <w:rsid w:val="00472C45"/>
    <w:rsid w:val="00472CDC"/>
    <w:rsid w:val="00473883"/>
    <w:rsid w:val="004915EC"/>
    <w:rsid w:val="00493E02"/>
    <w:rsid w:val="00494041"/>
    <w:rsid w:val="00495D46"/>
    <w:rsid w:val="004A06CE"/>
    <w:rsid w:val="004A557A"/>
    <w:rsid w:val="004A731A"/>
    <w:rsid w:val="004C091B"/>
    <w:rsid w:val="004C1B39"/>
    <w:rsid w:val="004C1E45"/>
    <w:rsid w:val="004D3788"/>
    <w:rsid w:val="004E2E7C"/>
    <w:rsid w:val="004E6719"/>
    <w:rsid w:val="004F6384"/>
    <w:rsid w:val="004F794D"/>
    <w:rsid w:val="00502F1D"/>
    <w:rsid w:val="005110C2"/>
    <w:rsid w:val="00511CAB"/>
    <w:rsid w:val="005211B4"/>
    <w:rsid w:val="00521A4E"/>
    <w:rsid w:val="00524438"/>
    <w:rsid w:val="00530A1D"/>
    <w:rsid w:val="00534ADA"/>
    <w:rsid w:val="00534B30"/>
    <w:rsid w:val="00535F1D"/>
    <w:rsid w:val="00540A55"/>
    <w:rsid w:val="00544856"/>
    <w:rsid w:val="005526BC"/>
    <w:rsid w:val="0055535B"/>
    <w:rsid w:val="00556C39"/>
    <w:rsid w:val="005654D0"/>
    <w:rsid w:val="00570BAF"/>
    <w:rsid w:val="00582801"/>
    <w:rsid w:val="00584192"/>
    <w:rsid w:val="00585AB4"/>
    <w:rsid w:val="00593FA5"/>
    <w:rsid w:val="005A20B9"/>
    <w:rsid w:val="005A49AA"/>
    <w:rsid w:val="005A7FEF"/>
    <w:rsid w:val="005B1FA6"/>
    <w:rsid w:val="005B2E55"/>
    <w:rsid w:val="005B7119"/>
    <w:rsid w:val="005C374F"/>
    <w:rsid w:val="005D008C"/>
    <w:rsid w:val="005D37D2"/>
    <w:rsid w:val="005E06A1"/>
    <w:rsid w:val="005E60CA"/>
    <w:rsid w:val="005E7ED4"/>
    <w:rsid w:val="005F7E7C"/>
    <w:rsid w:val="00600478"/>
    <w:rsid w:val="00600F04"/>
    <w:rsid w:val="00605DC5"/>
    <w:rsid w:val="00615070"/>
    <w:rsid w:val="00622280"/>
    <w:rsid w:val="006229A2"/>
    <w:rsid w:val="00625F43"/>
    <w:rsid w:val="00643E18"/>
    <w:rsid w:val="00645E4B"/>
    <w:rsid w:val="00646D8E"/>
    <w:rsid w:val="006523BB"/>
    <w:rsid w:val="00655BF6"/>
    <w:rsid w:val="00666FBF"/>
    <w:rsid w:val="006769D9"/>
    <w:rsid w:val="006A1E53"/>
    <w:rsid w:val="006A5BA5"/>
    <w:rsid w:val="006B01F9"/>
    <w:rsid w:val="006B13AB"/>
    <w:rsid w:val="006B76F4"/>
    <w:rsid w:val="006C15D8"/>
    <w:rsid w:val="006C64DB"/>
    <w:rsid w:val="006D1ED7"/>
    <w:rsid w:val="006D4556"/>
    <w:rsid w:val="006E69C1"/>
    <w:rsid w:val="006F5402"/>
    <w:rsid w:val="007150B3"/>
    <w:rsid w:val="007170B7"/>
    <w:rsid w:val="00726FF9"/>
    <w:rsid w:val="007350AE"/>
    <w:rsid w:val="00740749"/>
    <w:rsid w:val="0074305F"/>
    <w:rsid w:val="00756A1A"/>
    <w:rsid w:val="007657C1"/>
    <w:rsid w:val="007676DC"/>
    <w:rsid w:val="0077225F"/>
    <w:rsid w:val="00772A82"/>
    <w:rsid w:val="0077404F"/>
    <w:rsid w:val="007818C7"/>
    <w:rsid w:val="00794F08"/>
    <w:rsid w:val="007968E5"/>
    <w:rsid w:val="007A535E"/>
    <w:rsid w:val="007A7DD2"/>
    <w:rsid w:val="007B0259"/>
    <w:rsid w:val="007B37D9"/>
    <w:rsid w:val="007C1DA4"/>
    <w:rsid w:val="007C4208"/>
    <w:rsid w:val="007D0BEC"/>
    <w:rsid w:val="007D6032"/>
    <w:rsid w:val="007D66F4"/>
    <w:rsid w:val="007F4855"/>
    <w:rsid w:val="008069FE"/>
    <w:rsid w:val="008078E0"/>
    <w:rsid w:val="00812C99"/>
    <w:rsid w:val="00821231"/>
    <w:rsid w:val="008344C4"/>
    <w:rsid w:val="008369EB"/>
    <w:rsid w:val="0085164B"/>
    <w:rsid w:val="0085226E"/>
    <w:rsid w:val="00855FBF"/>
    <w:rsid w:val="00863B4F"/>
    <w:rsid w:val="0086520D"/>
    <w:rsid w:val="00865B61"/>
    <w:rsid w:val="008676D2"/>
    <w:rsid w:val="008717B0"/>
    <w:rsid w:val="00881CCA"/>
    <w:rsid w:val="008941F5"/>
    <w:rsid w:val="008A60BF"/>
    <w:rsid w:val="008B75A2"/>
    <w:rsid w:val="008C3597"/>
    <w:rsid w:val="008C44AA"/>
    <w:rsid w:val="008C4941"/>
    <w:rsid w:val="008C4A1B"/>
    <w:rsid w:val="008D05A8"/>
    <w:rsid w:val="008E735A"/>
    <w:rsid w:val="008F3362"/>
    <w:rsid w:val="008F5A38"/>
    <w:rsid w:val="008F6BF6"/>
    <w:rsid w:val="00903B56"/>
    <w:rsid w:val="00916576"/>
    <w:rsid w:val="00916CC6"/>
    <w:rsid w:val="00917EEC"/>
    <w:rsid w:val="00921451"/>
    <w:rsid w:val="009272C4"/>
    <w:rsid w:val="0093575F"/>
    <w:rsid w:val="0094531D"/>
    <w:rsid w:val="00956988"/>
    <w:rsid w:val="009653F0"/>
    <w:rsid w:val="00970DE3"/>
    <w:rsid w:val="0098574A"/>
    <w:rsid w:val="00986218"/>
    <w:rsid w:val="00991BFC"/>
    <w:rsid w:val="009928AE"/>
    <w:rsid w:val="00995851"/>
    <w:rsid w:val="009A0A61"/>
    <w:rsid w:val="009A3F27"/>
    <w:rsid w:val="009B291D"/>
    <w:rsid w:val="009B4B6A"/>
    <w:rsid w:val="009D37FE"/>
    <w:rsid w:val="009D4982"/>
    <w:rsid w:val="009D4FE1"/>
    <w:rsid w:val="009E0BF2"/>
    <w:rsid w:val="009E1DCA"/>
    <w:rsid w:val="009F0B52"/>
    <w:rsid w:val="009F5399"/>
    <w:rsid w:val="00A067D9"/>
    <w:rsid w:val="00A10CFF"/>
    <w:rsid w:val="00A122A3"/>
    <w:rsid w:val="00A150A9"/>
    <w:rsid w:val="00A21BAA"/>
    <w:rsid w:val="00A22FE4"/>
    <w:rsid w:val="00A24EBC"/>
    <w:rsid w:val="00A37965"/>
    <w:rsid w:val="00A4425E"/>
    <w:rsid w:val="00A5160F"/>
    <w:rsid w:val="00A64970"/>
    <w:rsid w:val="00A67690"/>
    <w:rsid w:val="00A7713B"/>
    <w:rsid w:val="00A77D84"/>
    <w:rsid w:val="00A80FB9"/>
    <w:rsid w:val="00A84B0E"/>
    <w:rsid w:val="00A84D33"/>
    <w:rsid w:val="00A90D03"/>
    <w:rsid w:val="00AB4458"/>
    <w:rsid w:val="00AB6AAF"/>
    <w:rsid w:val="00AC5243"/>
    <w:rsid w:val="00AD09A1"/>
    <w:rsid w:val="00AD4139"/>
    <w:rsid w:val="00AD60DD"/>
    <w:rsid w:val="00AF2CAB"/>
    <w:rsid w:val="00AF4040"/>
    <w:rsid w:val="00AF7125"/>
    <w:rsid w:val="00AF7EE8"/>
    <w:rsid w:val="00B05073"/>
    <w:rsid w:val="00B11C6D"/>
    <w:rsid w:val="00B20F19"/>
    <w:rsid w:val="00B2601C"/>
    <w:rsid w:val="00B277BC"/>
    <w:rsid w:val="00B307D1"/>
    <w:rsid w:val="00B30E25"/>
    <w:rsid w:val="00B348D3"/>
    <w:rsid w:val="00B3557B"/>
    <w:rsid w:val="00B37885"/>
    <w:rsid w:val="00B40834"/>
    <w:rsid w:val="00B53768"/>
    <w:rsid w:val="00B537D2"/>
    <w:rsid w:val="00B57667"/>
    <w:rsid w:val="00B61CEA"/>
    <w:rsid w:val="00B710FB"/>
    <w:rsid w:val="00B7243E"/>
    <w:rsid w:val="00B80FB9"/>
    <w:rsid w:val="00B83E8E"/>
    <w:rsid w:val="00B91F11"/>
    <w:rsid w:val="00B97935"/>
    <w:rsid w:val="00BA1F55"/>
    <w:rsid w:val="00BA3EE0"/>
    <w:rsid w:val="00BB61F8"/>
    <w:rsid w:val="00BC03FC"/>
    <w:rsid w:val="00BC07C8"/>
    <w:rsid w:val="00BD3E1E"/>
    <w:rsid w:val="00BE67E5"/>
    <w:rsid w:val="00BF517F"/>
    <w:rsid w:val="00C05D5B"/>
    <w:rsid w:val="00C1426F"/>
    <w:rsid w:val="00C224A8"/>
    <w:rsid w:val="00C22788"/>
    <w:rsid w:val="00C42319"/>
    <w:rsid w:val="00C43571"/>
    <w:rsid w:val="00C45FB0"/>
    <w:rsid w:val="00C514B7"/>
    <w:rsid w:val="00C53BC6"/>
    <w:rsid w:val="00C660FF"/>
    <w:rsid w:val="00C66AE1"/>
    <w:rsid w:val="00C66CB6"/>
    <w:rsid w:val="00C708BF"/>
    <w:rsid w:val="00C82786"/>
    <w:rsid w:val="00C8283E"/>
    <w:rsid w:val="00C904AC"/>
    <w:rsid w:val="00C918D6"/>
    <w:rsid w:val="00C95F0A"/>
    <w:rsid w:val="00CA0A83"/>
    <w:rsid w:val="00CA74CA"/>
    <w:rsid w:val="00CB3BBE"/>
    <w:rsid w:val="00CB5959"/>
    <w:rsid w:val="00CC4D11"/>
    <w:rsid w:val="00CC5DC3"/>
    <w:rsid w:val="00CD1CAF"/>
    <w:rsid w:val="00CD419E"/>
    <w:rsid w:val="00CE4922"/>
    <w:rsid w:val="00CE7BCF"/>
    <w:rsid w:val="00CF1FC6"/>
    <w:rsid w:val="00CF2B9C"/>
    <w:rsid w:val="00CF508B"/>
    <w:rsid w:val="00CF5FAE"/>
    <w:rsid w:val="00D068DD"/>
    <w:rsid w:val="00D1347F"/>
    <w:rsid w:val="00D155F3"/>
    <w:rsid w:val="00D21949"/>
    <w:rsid w:val="00D23C4C"/>
    <w:rsid w:val="00D2456A"/>
    <w:rsid w:val="00D27145"/>
    <w:rsid w:val="00D31E96"/>
    <w:rsid w:val="00D35649"/>
    <w:rsid w:val="00D37EB6"/>
    <w:rsid w:val="00D42DF7"/>
    <w:rsid w:val="00D47899"/>
    <w:rsid w:val="00D51F27"/>
    <w:rsid w:val="00D61682"/>
    <w:rsid w:val="00D6256C"/>
    <w:rsid w:val="00D64934"/>
    <w:rsid w:val="00D66263"/>
    <w:rsid w:val="00D75895"/>
    <w:rsid w:val="00D80227"/>
    <w:rsid w:val="00D92DE3"/>
    <w:rsid w:val="00D93FA2"/>
    <w:rsid w:val="00D949CD"/>
    <w:rsid w:val="00DA1079"/>
    <w:rsid w:val="00DA1B07"/>
    <w:rsid w:val="00DA39EC"/>
    <w:rsid w:val="00DB40D8"/>
    <w:rsid w:val="00DB5672"/>
    <w:rsid w:val="00DB6565"/>
    <w:rsid w:val="00DB6EF5"/>
    <w:rsid w:val="00DB7304"/>
    <w:rsid w:val="00DC01BB"/>
    <w:rsid w:val="00DC04E4"/>
    <w:rsid w:val="00DC3226"/>
    <w:rsid w:val="00DD6CAF"/>
    <w:rsid w:val="00DF44B6"/>
    <w:rsid w:val="00E0348E"/>
    <w:rsid w:val="00E05A10"/>
    <w:rsid w:val="00E20D21"/>
    <w:rsid w:val="00E2268C"/>
    <w:rsid w:val="00E247F4"/>
    <w:rsid w:val="00E26FFB"/>
    <w:rsid w:val="00E30FE3"/>
    <w:rsid w:val="00E371F5"/>
    <w:rsid w:val="00E374C0"/>
    <w:rsid w:val="00E43DE2"/>
    <w:rsid w:val="00E70CD0"/>
    <w:rsid w:val="00E7507C"/>
    <w:rsid w:val="00E85D8F"/>
    <w:rsid w:val="00EA5B82"/>
    <w:rsid w:val="00EB2A19"/>
    <w:rsid w:val="00EC3DA9"/>
    <w:rsid w:val="00ED08C9"/>
    <w:rsid w:val="00ED0BC3"/>
    <w:rsid w:val="00EE347C"/>
    <w:rsid w:val="00EF5D4E"/>
    <w:rsid w:val="00F07272"/>
    <w:rsid w:val="00F07395"/>
    <w:rsid w:val="00F0752E"/>
    <w:rsid w:val="00F11D9B"/>
    <w:rsid w:val="00F12F38"/>
    <w:rsid w:val="00F13179"/>
    <w:rsid w:val="00F14C59"/>
    <w:rsid w:val="00F2100D"/>
    <w:rsid w:val="00F27262"/>
    <w:rsid w:val="00F334EB"/>
    <w:rsid w:val="00F45733"/>
    <w:rsid w:val="00F5138D"/>
    <w:rsid w:val="00F567A6"/>
    <w:rsid w:val="00F60CA2"/>
    <w:rsid w:val="00F61069"/>
    <w:rsid w:val="00F65226"/>
    <w:rsid w:val="00F81551"/>
    <w:rsid w:val="00F820E5"/>
    <w:rsid w:val="00F83429"/>
    <w:rsid w:val="00F84FC2"/>
    <w:rsid w:val="00F85846"/>
    <w:rsid w:val="00F957EC"/>
    <w:rsid w:val="00FB0884"/>
    <w:rsid w:val="00FC0917"/>
    <w:rsid w:val="00FC1F64"/>
    <w:rsid w:val="00FC2FC0"/>
    <w:rsid w:val="00FC7D54"/>
    <w:rsid w:val="00FD422B"/>
    <w:rsid w:val="00FE6C36"/>
    <w:rsid w:val="00FF138C"/>
    <w:rsid w:val="00FF2B52"/>
    <w:rsid w:val="19FA7775"/>
    <w:rsid w:val="44B97E16"/>
    <w:rsid w:val="5DCDA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700"/>
  <w15:chartTrackingRefBased/>
  <w15:docId w15:val="{18583170-B8E8-41B6-B4FE-6F7B2BC9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39"/>
    <w:pPr>
      <w:spacing w:after="200" w:line="276" w:lineRule="auto"/>
    </w:pPr>
  </w:style>
  <w:style w:type="paragraph" w:styleId="Heading1">
    <w:name w:val="heading 1"/>
    <w:basedOn w:val="Normal"/>
    <w:next w:val="Normal"/>
    <w:link w:val="Heading1Char"/>
    <w:uiPriority w:val="9"/>
    <w:qFormat/>
    <w:rsid w:val="004C1B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30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55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1B39"/>
    <w:rPr>
      <w:sz w:val="16"/>
      <w:szCs w:val="16"/>
    </w:rPr>
  </w:style>
  <w:style w:type="paragraph" w:styleId="CommentText">
    <w:name w:val="annotation text"/>
    <w:basedOn w:val="Normal"/>
    <w:link w:val="CommentTextChar"/>
    <w:uiPriority w:val="99"/>
    <w:unhideWhenUsed/>
    <w:rsid w:val="004C1B39"/>
    <w:pPr>
      <w:spacing w:line="240" w:lineRule="auto"/>
    </w:pPr>
    <w:rPr>
      <w:sz w:val="20"/>
      <w:szCs w:val="20"/>
    </w:rPr>
  </w:style>
  <w:style w:type="character" w:customStyle="1" w:styleId="CommentTextChar">
    <w:name w:val="Comment Text Char"/>
    <w:basedOn w:val="DefaultParagraphFont"/>
    <w:link w:val="CommentText"/>
    <w:uiPriority w:val="99"/>
    <w:rsid w:val="004C1B39"/>
    <w:rPr>
      <w:sz w:val="20"/>
      <w:szCs w:val="20"/>
    </w:rPr>
  </w:style>
  <w:style w:type="table" w:styleId="TableGridLight">
    <w:name w:val="Grid Table Light"/>
    <w:basedOn w:val="TableNormal"/>
    <w:uiPriority w:val="40"/>
    <w:rsid w:val="004C1B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C1B3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C1B39"/>
    <w:pPr>
      <w:ind w:left="720"/>
      <w:contextualSpacing/>
    </w:pPr>
  </w:style>
  <w:style w:type="character" w:styleId="Hyperlink">
    <w:name w:val="Hyperlink"/>
    <w:basedOn w:val="DefaultParagraphFont"/>
    <w:uiPriority w:val="99"/>
    <w:unhideWhenUsed/>
    <w:rsid w:val="00AB6AAF"/>
    <w:rPr>
      <w:color w:val="0563C1" w:themeColor="hyperlink"/>
      <w:u w:val="single"/>
    </w:rPr>
  </w:style>
  <w:style w:type="paragraph" w:styleId="NoSpacing">
    <w:name w:val="No Spacing"/>
    <w:uiPriority w:val="1"/>
    <w:qFormat/>
    <w:rsid w:val="007D0BEC"/>
    <w:pPr>
      <w:spacing w:after="0" w:line="240" w:lineRule="auto"/>
    </w:pPr>
  </w:style>
  <w:style w:type="character" w:customStyle="1" w:styleId="Heading2Char">
    <w:name w:val="Heading 2 Char"/>
    <w:basedOn w:val="DefaultParagraphFont"/>
    <w:link w:val="Heading2"/>
    <w:uiPriority w:val="9"/>
    <w:rsid w:val="001D4EDC"/>
    <w:rPr>
      <w:rFonts w:asciiTheme="majorHAnsi" w:eastAsiaTheme="majorEastAsia" w:hAnsiTheme="majorHAnsi" w:cstheme="majorBidi"/>
      <w:color w:val="2F5496" w:themeColor="accent1" w:themeShade="BF"/>
      <w:sz w:val="26"/>
      <w:szCs w:val="26"/>
    </w:rPr>
  </w:style>
  <w:style w:type="paragraph" w:customStyle="1" w:styleId="list0bullet">
    <w:name w:val="list0 bullet"/>
    <w:rsid w:val="001D4EDC"/>
    <w:pPr>
      <w:numPr>
        <w:numId w:val="2"/>
      </w:numPr>
      <w:spacing w:before="120" w:after="120" w:line="280" w:lineRule="exact"/>
      <w:contextualSpacing/>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430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155F3"/>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DB40D8"/>
    <w:pPr>
      <w:spacing w:line="259" w:lineRule="auto"/>
      <w:outlineLvl w:val="9"/>
    </w:pPr>
    <w:rPr>
      <w:lang w:val="en-US"/>
    </w:rPr>
  </w:style>
  <w:style w:type="paragraph" w:styleId="TOC1">
    <w:name w:val="toc 1"/>
    <w:basedOn w:val="Normal"/>
    <w:next w:val="Normal"/>
    <w:autoRedefine/>
    <w:uiPriority w:val="39"/>
    <w:unhideWhenUsed/>
    <w:rsid w:val="00B537D2"/>
    <w:pPr>
      <w:tabs>
        <w:tab w:val="right" w:leader="dot" w:pos="9016"/>
      </w:tabs>
      <w:spacing w:after="100"/>
    </w:pPr>
  </w:style>
  <w:style w:type="paragraph" w:styleId="TOC2">
    <w:name w:val="toc 2"/>
    <w:basedOn w:val="Normal"/>
    <w:next w:val="Normal"/>
    <w:autoRedefine/>
    <w:uiPriority w:val="39"/>
    <w:unhideWhenUsed/>
    <w:rsid w:val="004243D6"/>
    <w:pPr>
      <w:tabs>
        <w:tab w:val="right" w:leader="dot" w:pos="9016"/>
      </w:tabs>
      <w:spacing w:after="0" w:line="240" w:lineRule="auto"/>
      <w:ind w:left="221"/>
    </w:pPr>
  </w:style>
  <w:style w:type="paragraph" w:styleId="TOC3">
    <w:name w:val="toc 3"/>
    <w:basedOn w:val="Normal"/>
    <w:next w:val="Normal"/>
    <w:autoRedefine/>
    <w:uiPriority w:val="39"/>
    <w:unhideWhenUsed/>
    <w:rsid w:val="00DB40D8"/>
    <w:pPr>
      <w:spacing w:after="100"/>
      <w:ind w:left="440"/>
    </w:pPr>
  </w:style>
  <w:style w:type="paragraph" w:styleId="CommentSubject">
    <w:name w:val="annotation subject"/>
    <w:basedOn w:val="CommentText"/>
    <w:next w:val="CommentText"/>
    <w:link w:val="CommentSubjectChar"/>
    <w:uiPriority w:val="99"/>
    <w:semiHidden/>
    <w:unhideWhenUsed/>
    <w:rsid w:val="00EF5D4E"/>
    <w:rPr>
      <w:b/>
      <w:bCs/>
    </w:rPr>
  </w:style>
  <w:style w:type="character" w:customStyle="1" w:styleId="CommentSubjectChar">
    <w:name w:val="Comment Subject Char"/>
    <w:basedOn w:val="CommentTextChar"/>
    <w:link w:val="CommentSubject"/>
    <w:uiPriority w:val="99"/>
    <w:semiHidden/>
    <w:rsid w:val="00EF5D4E"/>
    <w:rPr>
      <w:b/>
      <w:bCs/>
      <w:sz w:val="20"/>
      <w:szCs w:val="20"/>
    </w:rPr>
  </w:style>
  <w:style w:type="paragraph" w:styleId="Revision">
    <w:name w:val="Revision"/>
    <w:hidden/>
    <w:uiPriority w:val="99"/>
    <w:semiHidden/>
    <w:rsid w:val="00EF5D4E"/>
    <w:pPr>
      <w:spacing w:after="0" w:line="240" w:lineRule="auto"/>
    </w:pPr>
  </w:style>
  <w:style w:type="character" w:styleId="FollowedHyperlink">
    <w:name w:val="FollowedHyperlink"/>
    <w:basedOn w:val="DefaultParagraphFont"/>
    <w:uiPriority w:val="99"/>
    <w:semiHidden/>
    <w:unhideWhenUsed/>
    <w:rsid w:val="0077225F"/>
    <w:rPr>
      <w:color w:val="954F72" w:themeColor="followedHyperlink"/>
      <w:u w:val="single"/>
    </w:rPr>
  </w:style>
  <w:style w:type="paragraph" w:styleId="NormalWeb">
    <w:name w:val="Normal (Web)"/>
    <w:basedOn w:val="Normal"/>
    <w:uiPriority w:val="99"/>
    <w:semiHidden/>
    <w:unhideWhenUsed/>
    <w:rsid w:val="00CF1F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60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996"/>
  </w:style>
  <w:style w:type="paragraph" w:styleId="Footer">
    <w:name w:val="footer"/>
    <w:basedOn w:val="Normal"/>
    <w:link w:val="FooterChar"/>
    <w:uiPriority w:val="99"/>
    <w:semiHidden/>
    <w:unhideWhenUsed/>
    <w:rsid w:val="00A84D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4D33"/>
  </w:style>
  <w:style w:type="character" w:styleId="UnresolvedMention">
    <w:name w:val="Unresolved Mention"/>
    <w:basedOn w:val="DefaultParagraphFont"/>
    <w:uiPriority w:val="99"/>
    <w:semiHidden/>
    <w:unhideWhenUsed/>
    <w:rsid w:val="0001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5839">
      <w:bodyDiv w:val="1"/>
      <w:marLeft w:val="0"/>
      <w:marRight w:val="0"/>
      <w:marTop w:val="0"/>
      <w:marBottom w:val="0"/>
      <w:divBdr>
        <w:top w:val="none" w:sz="0" w:space="0" w:color="auto"/>
        <w:left w:val="none" w:sz="0" w:space="0" w:color="auto"/>
        <w:bottom w:val="none" w:sz="0" w:space="0" w:color="auto"/>
        <w:right w:val="none" w:sz="0" w:space="0" w:color="auto"/>
      </w:divBdr>
    </w:div>
    <w:div w:id="296909845">
      <w:bodyDiv w:val="1"/>
      <w:marLeft w:val="0"/>
      <w:marRight w:val="0"/>
      <w:marTop w:val="0"/>
      <w:marBottom w:val="0"/>
      <w:divBdr>
        <w:top w:val="none" w:sz="0" w:space="0" w:color="auto"/>
        <w:left w:val="none" w:sz="0" w:space="0" w:color="auto"/>
        <w:bottom w:val="none" w:sz="0" w:space="0" w:color="auto"/>
        <w:right w:val="none" w:sz="0" w:space="0" w:color="auto"/>
      </w:divBdr>
    </w:div>
    <w:div w:id="936013335">
      <w:bodyDiv w:val="1"/>
      <w:marLeft w:val="0"/>
      <w:marRight w:val="0"/>
      <w:marTop w:val="0"/>
      <w:marBottom w:val="0"/>
      <w:divBdr>
        <w:top w:val="none" w:sz="0" w:space="0" w:color="auto"/>
        <w:left w:val="none" w:sz="0" w:space="0" w:color="auto"/>
        <w:bottom w:val="none" w:sz="0" w:space="0" w:color="auto"/>
        <w:right w:val="none" w:sz="0" w:space="0" w:color="auto"/>
      </w:divBdr>
    </w:div>
    <w:div w:id="1472211422">
      <w:bodyDiv w:val="1"/>
      <w:marLeft w:val="0"/>
      <w:marRight w:val="0"/>
      <w:marTop w:val="0"/>
      <w:marBottom w:val="0"/>
      <w:divBdr>
        <w:top w:val="none" w:sz="0" w:space="0" w:color="auto"/>
        <w:left w:val="none" w:sz="0" w:space="0" w:color="auto"/>
        <w:bottom w:val="none" w:sz="0" w:space="0" w:color="auto"/>
        <w:right w:val="none" w:sz="0" w:space="0" w:color="auto"/>
      </w:divBdr>
      <w:divsChild>
        <w:div w:id="171338425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0429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0/11/contents" TargetMode="External"/><Relationship Id="rId18" Type="http://schemas.openxmlformats.org/officeDocument/2006/relationships/hyperlink" Target="https://www.lawscot.org.uk/members/regulation-and-compliance/financial-compliance/anti-money-laundering/aml-faq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scot.org.uk/members/regulation-and-compliance/financial-compliance/anti-money-laundering/suspiciousactivityreports/" TargetMode="External"/><Relationship Id="rId7" Type="http://schemas.openxmlformats.org/officeDocument/2006/relationships/settings" Target="settings.xml"/><Relationship Id="rId12" Type="http://schemas.openxmlformats.org/officeDocument/2006/relationships/hyperlink" Target="https://www.legislation.gov.uk/ukpga/2002/29/contents" TargetMode="External"/><Relationship Id="rId17" Type="http://schemas.openxmlformats.org/officeDocument/2006/relationships/hyperlink" Target="https://www.lawscot.org.uk/members/regulation-and-compliance/financial-compliance/anti-money-laundering/aml-faqs/" TargetMode="External"/><Relationship Id="rId25" Type="http://schemas.openxmlformats.org/officeDocument/2006/relationships/hyperlink" Target="https://www.gov.uk/government/publications/national-risk-assessment-of-proliferation-financing"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lawscot.org.uk%2Fmedia%2F372545%2Flsag-breach-reporting-note.docx&amp;wdOrigin=BROWSELINK" TargetMode="External"/><Relationship Id="rId20" Type="http://schemas.openxmlformats.org/officeDocument/2006/relationships/hyperlink" Target="https://www.fca.org.uk/publication/finalised-guidance/fg17-0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7/692/contents" TargetMode="External"/><Relationship Id="rId24" Type="http://schemas.openxmlformats.org/officeDocument/2006/relationships/hyperlink" Target="file:///C:/Users/bclark/Downloads/Guidance-Proliferation-Financing-Risk-Assessment-Mitigation%20(2).pdf" TargetMode="External"/><Relationship Id="rId5" Type="http://schemas.openxmlformats.org/officeDocument/2006/relationships/numbering" Target="numbering.xml"/><Relationship Id="rId15" Type="http://schemas.openxmlformats.org/officeDocument/2006/relationships/hyperlink" Target="https://www.lawscot.org.uk/media/d0mgr3gn/addendum-to-the-lsag-guidance-21-november-2023.pdf" TargetMode="External"/><Relationship Id="rId23" Type="http://schemas.openxmlformats.org/officeDocument/2006/relationships/hyperlink" Target="https://www.legislation.gov.uk/uksi/2022/860/mad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awscot.org.uk/members/regulation-and-compliance/financial-compliance/anti-money-laundering/aml-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cot.org.uk/media/fa2m5d2x/lsag-aml-guidance-for-the-legal-sector-220323-14.pdf" TargetMode="External"/><Relationship Id="rId22" Type="http://schemas.openxmlformats.org/officeDocument/2006/relationships/hyperlink" Target="https://www.lawscot.org.uk/media/371634/introduction-to-sars-v10.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0B7C47568CD9EC44AB1B7F98B91B476C1300E986B1E16963094EB5438DDECCD2197A" ma:contentTypeVersion="16" ma:contentTypeDescription="" ma:contentTypeScope="" ma:versionID="50fd5d5feca1b139285b1493466cb601">
  <xsd:schema xmlns:xsd="http://www.w3.org/2001/XMLSchema" xmlns:xs="http://www.w3.org/2001/XMLSchema" xmlns:p="http://schemas.microsoft.com/office/2006/metadata/properties" xmlns:ns2="1ca9531e-4856-49dc-b8d9-2b50dbac3583" xmlns:ns3="18c67e97-170c-4c6a-9226-91428b647f9e" targetNamespace="http://schemas.microsoft.com/office/2006/metadata/properties" ma:root="true" ma:fieldsID="7e6604e41c1f4f1bf186a5e7ff3ccc3c" ns2:_="" ns3:_="">
    <xsd:import namespace="1ca9531e-4856-49dc-b8d9-2b50dbac3583"/>
    <xsd:import namespace="18c67e97-170c-4c6a-9226-91428b647f9e"/>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531e-4856-49dc-b8d9-2b50dbac3583"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39c65b-4d33-4787-8be9-a6b461a06c6d}" ma:internalName="TaxCatchAll" ma:readOnly="false" ma:showField="CatchAllData"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39c65b-4d33-4787-8be9-a6b461a06c6d}" ma:internalName="TaxCatchAllLabel" ma:readOnly="true" ma:showField="CatchAllDataLabel"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8c67e97-170c-4c6a-9226-91428b647f9e"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c67e97-170c-4c6a-9226-91428b647f9e" xsi:nil="true"/>
    <TaxCatchAll xmlns="1ca9531e-4856-49dc-b8d9-2b50dbac3583">
      <Value>1</Value>
    </TaxCatchAll>
    <BWPersonalInfo xmlns="1ca9531e-4856-49dc-b8d9-2b50dbac3583">No</BWPersonalInfo>
    <j51334b8464a403e8708c44b550590d2 xmlns="1ca9531e-4856-49dc-b8d9-2b50dbac3583">
      <Terms xmlns="http://schemas.microsoft.com/office/infopath/2007/PartnerControls"/>
    </j51334b8464a403e8708c44b550590d2>
    <BWMembersRecord xmlns="1ca9531e-4856-49dc-b8d9-2b50dbac3583">No</BWMembersRecord>
    <DocumentType xmlns="1ca9531e-4856-49dc-b8d9-2b50dbac3583">Inspection</DocumentType>
    <m73f487bf6df40bd884c3d6035f2f3bf xmlns="1ca9531e-4856-49dc-b8d9-2b50dbac3583">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documentManagement>
</p:properties>
</file>

<file path=customXml/itemProps1.xml><?xml version="1.0" encoding="utf-8"?>
<ds:datastoreItem xmlns:ds="http://schemas.openxmlformats.org/officeDocument/2006/customXml" ds:itemID="{F2052D94-2D03-4D8A-9294-DF756B9E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531e-4856-49dc-b8d9-2b50dbac3583"/>
    <ds:schemaRef ds:uri="18c67e97-170c-4c6a-9226-91428b64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0F52A-2B0B-42C7-B1EB-F1148C408625}">
  <ds:schemaRefs>
    <ds:schemaRef ds:uri="http://schemas.openxmlformats.org/officeDocument/2006/bibliography"/>
  </ds:schemaRefs>
</ds:datastoreItem>
</file>

<file path=customXml/itemProps3.xml><?xml version="1.0" encoding="utf-8"?>
<ds:datastoreItem xmlns:ds="http://schemas.openxmlformats.org/officeDocument/2006/customXml" ds:itemID="{DF02522B-C824-4ED6-B063-19A4DFD6D0F6}">
  <ds:schemaRefs>
    <ds:schemaRef ds:uri="http://schemas.microsoft.com/sharepoint/v3/contenttype/forms"/>
  </ds:schemaRefs>
</ds:datastoreItem>
</file>

<file path=customXml/itemProps4.xml><?xml version="1.0" encoding="utf-8"?>
<ds:datastoreItem xmlns:ds="http://schemas.openxmlformats.org/officeDocument/2006/customXml" ds:itemID="{088DBA84-C75E-4169-8F5D-6F87CE2DB562}">
  <ds:schemaRefs>
    <ds:schemaRef ds:uri="http://schemas.microsoft.com/office/2006/metadata/properties"/>
    <ds:schemaRef ds:uri="http://schemas.microsoft.com/office/infopath/2007/PartnerControls"/>
    <ds:schemaRef ds:uri="18c67e97-170c-4c6a-9226-91428b647f9e"/>
    <ds:schemaRef ds:uri="1ca9531e-4856-49dc-b8d9-2b50dbac35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6495</Words>
  <Characters>37023</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43432</CharactersWithSpaces>
  <SharedDoc>false</SharedDoc>
  <HLinks>
    <vt:vector size="270" baseType="variant">
      <vt:variant>
        <vt:i4>3145829</vt:i4>
      </vt:variant>
      <vt:variant>
        <vt:i4>225</vt:i4>
      </vt:variant>
      <vt:variant>
        <vt:i4>0</vt:i4>
      </vt:variant>
      <vt:variant>
        <vt:i4>5</vt:i4>
      </vt:variant>
      <vt:variant>
        <vt:lpwstr>https://www.gov.uk/government/publications/national-risk-assessment-of-proliferation-financing</vt:lpwstr>
      </vt:variant>
      <vt:variant>
        <vt:lpwstr/>
      </vt:variant>
      <vt:variant>
        <vt:i4>5046281</vt:i4>
      </vt:variant>
      <vt:variant>
        <vt:i4>222</vt:i4>
      </vt:variant>
      <vt:variant>
        <vt:i4>0</vt:i4>
      </vt:variant>
      <vt:variant>
        <vt:i4>5</vt:i4>
      </vt:variant>
      <vt:variant>
        <vt:lpwstr>C:\Users\bclark\Downloads\Guidance-Proliferation-Financing-Risk-Assessment-Mitigation (2).pdf</vt:lpwstr>
      </vt:variant>
      <vt:variant>
        <vt:lpwstr/>
      </vt:variant>
      <vt:variant>
        <vt:i4>1900608</vt:i4>
      </vt:variant>
      <vt:variant>
        <vt:i4>219</vt:i4>
      </vt:variant>
      <vt:variant>
        <vt:i4>0</vt:i4>
      </vt:variant>
      <vt:variant>
        <vt:i4>5</vt:i4>
      </vt:variant>
      <vt:variant>
        <vt:lpwstr>https://www.legislation.gov.uk/uksi/2022/860/made</vt:lpwstr>
      </vt:variant>
      <vt:variant>
        <vt:lpwstr/>
      </vt:variant>
      <vt:variant>
        <vt:i4>6094849</vt:i4>
      </vt:variant>
      <vt:variant>
        <vt:i4>216</vt:i4>
      </vt:variant>
      <vt:variant>
        <vt:i4>0</vt:i4>
      </vt:variant>
      <vt:variant>
        <vt:i4>5</vt:i4>
      </vt:variant>
      <vt:variant>
        <vt:lpwstr>https://www.lawscot.org.uk/media/371634/introduction-to-sars-v10.pdf</vt:lpwstr>
      </vt:variant>
      <vt:variant>
        <vt:lpwstr/>
      </vt:variant>
      <vt:variant>
        <vt:i4>6619192</vt:i4>
      </vt:variant>
      <vt:variant>
        <vt:i4>213</vt:i4>
      </vt:variant>
      <vt:variant>
        <vt:i4>0</vt:i4>
      </vt:variant>
      <vt:variant>
        <vt:i4>5</vt:i4>
      </vt:variant>
      <vt:variant>
        <vt:lpwstr>https://www.lawscot.org.uk/members/regulation-and-compliance/financial-compliance/anti-money-laundering/suspiciousactivityreports/</vt:lpwstr>
      </vt:variant>
      <vt:variant>
        <vt:lpwstr/>
      </vt:variant>
      <vt:variant>
        <vt:i4>5570644</vt:i4>
      </vt:variant>
      <vt:variant>
        <vt:i4>210</vt:i4>
      </vt:variant>
      <vt:variant>
        <vt:i4>0</vt:i4>
      </vt:variant>
      <vt:variant>
        <vt:i4>5</vt:i4>
      </vt:variant>
      <vt:variant>
        <vt:lpwstr>https://www.fca.org.uk/publication/finalised-guidance/fg17-06.pdf</vt:lpwstr>
      </vt:variant>
      <vt:variant>
        <vt:lpwstr/>
      </vt:variant>
      <vt:variant>
        <vt:i4>393283</vt:i4>
      </vt:variant>
      <vt:variant>
        <vt:i4>207</vt:i4>
      </vt:variant>
      <vt:variant>
        <vt:i4>0</vt:i4>
      </vt:variant>
      <vt:variant>
        <vt:i4>5</vt:i4>
      </vt:variant>
      <vt:variant>
        <vt:lpwstr>https://www.lawscot.org.uk/members/regulation-and-compliance/financial-compliance/anti-money-laundering/aml-faqs/</vt:lpwstr>
      </vt:variant>
      <vt:variant>
        <vt:lpwstr/>
      </vt:variant>
      <vt:variant>
        <vt:i4>393283</vt:i4>
      </vt:variant>
      <vt:variant>
        <vt:i4>204</vt:i4>
      </vt:variant>
      <vt:variant>
        <vt:i4>0</vt:i4>
      </vt:variant>
      <vt:variant>
        <vt:i4>5</vt:i4>
      </vt:variant>
      <vt:variant>
        <vt:lpwstr>https://www.lawscot.org.uk/members/regulation-and-compliance/financial-compliance/anti-money-laundering/aml-faqs/</vt:lpwstr>
      </vt:variant>
      <vt:variant>
        <vt:lpwstr/>
      </vt:variant>
      <vt:variant>
        <vt:i4>393283</vt:i4>
      </vt:variant>
      <vt:variant>
        <vt:i4>201</vt:i4>
      </vt:variant>
      <vt:variant>
        <vt:i4>0</vt:i4>
      </vt:variant>
      <vt:variant>
        <vt:i4>5</vt:i4>
      </vt:variant>
      <vt:variant>
        <vt:lpwstr>https://www.lawscot.org.uk/members/regulation-and-compliance/financial-compliance/anti-money-laundering/aml-faqs/</vt:lpwstr>
      </vt:variant>
      <vt:variant>
        <vt:lpwstr/>
      </vt:variant>
      <vt:variant>
        <vt:i4>6094921</vt:i4>
      </vt:variant>
      <vt:variant>
        <vt:i4>198</vt:i4>
      </vt:variant>
      <vt:variant>
        <vt:i4>0</vt:i4>
      </vt:variant>
      <vt:variant>
        <vt:i4>5</vt:i4>
      </vt:variant>
      <vt:variant>
        <vt:lpwstr>https://view.officeapps.live.com/op/view.aspx?src=https%3A%2F%2Fwww.lawscot.org.uk%2Fmedia%2F372545%2Flsag-breach-reporting-note.docx&amp;wdOrigin=BROWSELINK</vt:lpwstr>
      </vt:variant>
      <vt:variant>
        <vt:lpwstr/>
      </vt:variant>
      <vt:variant>
        <vt:i4>5177359</vt:i4>
      </vt:variant>
      <vt:variant>
        <vt:i4>195</vt:i4>
      </vt:variant>
      <vt:variant>
        <vt:i4>0</vt:i4>
      </vt:variant>
      <vt:variant>
        <vt:i4>5</vt:i4>
      </vt:variant>
      <vt:variant>
        <vt:lpwstr>https://www.lawscot.org.uk/media/d0mgr3gn/addendum-to-the-lsag-guidance-21-november-2023.pdf</vt:lpwstr>
      </vt:variant>
      <vt:variant>
        <vt:lpwstr/>
      </vt:variant>
      <vt:variant>
        <vt:i4>7471150</vt:i4>
      </vt:variant>
      <vt:variant>
        <vt:i4>192</vt:i4>
      </vt:variant>
      <vt:variant>
        <vt:i4>0</vt:i4>
      </vt:variant>
      <vt:variant>
        <vt:i4>5</vt:i4>
      </vt:variant>
      <vt:variant>
        <vt:lpwstr>https://www.lawscot.org.uk/media/fa2m5d2x/lsag-aml-guidance-for-the-legal-sector-220323-14.pdf</vt:lpwstr>
      </vt:variant>
      <vt:variant>
        <vt:lpwstr/>
      </vt:variant>
      <vt:variant>
        <vt:i4>5439581</vt:i4>
      </vt:variant>
      <vt:variant>
        <vt:i4>189</vt:i4>
      </vt:variant>
      <vt:variant>
        <vt:i4>0</vt:i4>
      </vt:variant>
      <vt:variant>
        <vt:i4>5</vt:i4>
      </vt:variant>
      <vt:variant>
        <vt:lpwstr>https://www.legislation.gov.uk/ukpga/2000/11/contents</vt:lpwstr>
      </vt:variant>
      <vt:variant>
        <vt:lpwstr/>
      </vt:variant>
      <vt:variant>
        <vt:i4>5963868</vt:i4>
      </vt:variant>
      <vt:variant>
        <vt:i4>186</vt:i4>
      </vt:variant>
      <vt:variant>
        <vt:i4>0</vt:i4>
      </vt:variant>
      <vt:variant>
        <vt:i4>5</vt:i4>
      </vt:variant>
      <vt:variant>
        <vt:lpwstr>https://www.legislation.gov.uk/ukpga/2002/29/contents</vt:lpwstr>
      </vt:variant>
      <vt:variant>
        <vt:lpwstr/>
      </vt:variant>
      <vt:variant>
        <vt:i4>65624</vt:i4>
      </vt:variant>
      <vt:variant>
        <vt:i4>183</vt:i4>
      </vt:variant>
      <vt:variant>
        <vt:i4>0</vt:i4>
      </vt:variant>
      <vt:variant>
        <vt:i4>5</vt:i4>
      </vt:variant>
      <vt:variant>
        <vt:lpwstr>https://www.legislation.gov.uk/uksi/2017/692/contents</vt:lpwstr>
      </vt:variant>
      <vt:variant>
        <vt:lpwstr/>
      </vt:variant>
      <vt:variant>
        <vt:i4>1376310</vt:i4>
      </vt:variant>
      <vt:variant>
        <vt:i4>176</vt:i4>
      </vt:variant>
      <vt:variant>
        <vt:i4>0</vt:i4>
      </vt:variant>
      <vt:variant>
        <vt:i4>5</vt:i4>
      </vt:variant>
      <vt:variant>
        <vt:lpwstr/>
      </vt:variant>
      <vt:variant>
        <vt:lpwstr>_Toc126840582</vt:lpwstr>
      </vt:variant>
      <vt:variant>
        <vt:i4>1376310</vt:i4>
      </vt:variant>
      <vt:variant>
        <vt:i4>170</vt:i4>
      </vt:variant>
      <vt:variant>
        <vt:i4>0</vt:i4>
      </vt:variant>
      <vt:variant>
        <vt:i4>5</vt:i4>
      </vt:variant>
      <vt:variant>
        <vt:lpwstr/>
      </vt:variant>
      <vt:variant>
        <vt:lpwstr>_Toc126840581</vt:lpwstr>
      </vt:variant>
      <vt:variant>
        <vt:i4>1376310</vt:i4>
      </vt:variant>
      <vt:variant>
        <vt:i4>164</vt:i4>
      </vt:variant>
      <vt:variant>
        <vt:i4>0</vt:i4>
      </vt:variant>
      <vt:variant>
        <vt:i4>5</vt:i4>
      </vt:variant>
      <vt:variant>
        <vt:lpwstr/>
      </vt:variant>
      <vt:variant>
        <vt:lpwstr>_Toc126840580</vt:lpwstr>
      </vt:variant>
      <vt:variant>
        <vt:i4>1703990</vt:i4>
      </vt:variant>
      <vt:variant>
        <vt:i4>158</vt:i4>
      </vt:variant>
      <vt:variant>
        <vt:i4>0</vt:i4>
      </vt:variant>
      <vt:variant>
        <vt:i4>5</vt:i4>
      </vt:variant>
      <vt:variant>
        <vt:lpwstr/>
      </vt:variant>
      <vt:variant>
        <vt:lpwstr>_Toc126840579</vt:lpwstr>
      </vt:variant>
      <vt:variant>
        <vt:i4>1703990</vt:i4>
      </vt:variant>
      <vt:variant>
        <vt:i4>152</vt:i4>
      </vt:variant>
      <vt:variant>
        <vt:i4>0</vt:i4>
      </vt:variant>
      <vt:variant>
        <vt:i4>5</vt:i4>
      </vt:variant>
      <vt:variant>
        <vt:lpwstr/>
      </vt:variant>
      <vt:variant>
        <vt:lpwstr>_Toc126840578</vt:lpwstr>
      </vt:variant>
      <vt:variant>
        <vt:i4>1703990</vt:i4>
      </vt:variant>
      <vt:variant>
        <vt:i4>146</vt:i4>
      </vt:variant>
      <vt:variant>
        <vt:i4>0</vt:i4>
      </vt:variant>
      <vt:variant>
        <vt:i4>5</vt:i4>
      </vt:variant>
      <vt:variant>
        <vt:lpwstr/>
      </vt:variant>
      <vt:variant>
        <vt:lpwstr>_Toc126840577</vt:lpwstr>
      </vt:variant>
      <vt:variant>
        <vt:i4>1703990</vt:i4>
      </vt:variant>
      <vt:variant>
        <vt:i4>140</vt:i4>
      </vt:variant>
      <vt:variant>
        <vt:i4>0</vt:i4>
      </vt:variant>
      <vt:variant>
        <vt:i4>5</vt:i4>
      </vt:variant>
      <vt:variant>
        <vt:lpwstr/>
      </vt:variant>
      <vt:variant>
        <vt:lpwstr>_Toc126840576</vt:lpwstr>
      </vt:variant>
      <vt:variant>
        <vt:i4>1703990</vt:i4>
      </vt:variant>
      <vt:variant>
        <vt:i4>134</vt:i4>
      </vt:variant>
      <vt:variant>
        <vt:i4>0</vt:i4>
      </vt:variant>
      <vt:variant>
        <vt:i4>5</vt:i4>
      </vt:variant>
      <vt:variant>
        <vt:lpwstr/>
      </vt:variant>
      <vt:variant>
        <vt:lpwstr>_Toc126840575</vt:lpwstr>
      </vt:variant>
      <vt:variant>
        <vt:i4>1703990</vt:i4>
      </vt:variant>
      <vt:variant>
        <vt:i4>128</vt:i4>
      </vt:variant>
      <vt:variant>
        <vt:i4>0</vt:i4>
      </vt:variant>
      <vt:variant>
        <vt:i4>5</vt:i4>
      </vt:variant>
      <vt:variant>
        <vt:lpwstr/>
      </vt:variant>
      <vt:variant>
        <vt:lpwstr>_Toc126840574</vt:lpwstr>
      </vt:variant>
      <vt:variant>
        <vt:i4>1703990</vt:i4>
      </vt:variant>
      <vt:variant>
        <vt:i4>122</vt:i4>
      </vt:variant>
      <vt:variant>
        <vt:i4>0</vt:i4>
      </vt:variant>
      <vt:variant>
        <vt:i4>5</vt:i4>
      </vt:variant>
      <vt:variant>
        <vt:lpwstr/>
      </vt:variant>
      <vt:variant>
        <vt:lpwstr>_Toc126840573</vt:lpwstr>
      </vt:variant>
      <vt:variant>
        <vt:i4>1703990</vt:i4>
      </vt:variant>
      <vt:variant>
        <vt:i4>116</vt:i4>
      </vt:variant>
      <vt:variant>
        <vt:i4>0</vt:i4>
      </vt:variant>
      <vt:variant>
        <vt:i4>5</vt:i4>
      </vt:variant>
      <vt:variant>
        <vt:lpwstr/>
      </vt:variant>
      <vt:variant>
        <vt:lpwstr>_Toc126840572</vt:lpwstr>
      </vt:variant>
      <vt:variant>
        <vt:i4>1703990</vt:i4>
      </vt:variant>
      <vt:variant>
        <vt:i4>110</vt:i4>
      </vt:variant>
      <vt:variant>
        <vt:i4>0</vt:i4>
      </vt:variant>
      <vt:variant>
        <vt:i4>5</vt:i4>
      </vt:variant>
      <vt:variant>
        <vt:lpwstr/>
      </vt:variant>
      <vt:variant>
        <vt:lpwstr>_Toc126840571</vt:lpwstr>
      </vt:variant>
      <vt:variant>
        <vt:i4>1703990</vt:i4>
      </vt:variant>
      <vt:variant>
        <vt:i4>104</vt:i4>
      </vt:variant>
      <vt:variant>
        <vt:i4>0</vt:i4>
      </vt:variant>
      <vt:variant>
        <vt:i4>5</vt:i4>
      </vt:variant>
      <vt:variant>
        <vt:lpwstr/>
      </vt:variant>
      <vt:variant>
        <vt:lpwstr>_Toc126840570</vt:lpwstr>
      </vt:variant>
      <vt:variant>
        <vt:i4>1769526</vt:i4>
      </vt:variant>
      <vt:variant>
        <vt:i4>98</vt:i4>
      </vt:variant>
      <vt:variant>
        <vt:i4>0</vt:i4>
      </vt:variant>
      <vt:variant>
        <vt:i4>5</vt:i4>
      </vt:variant>
      <vt:variant>
        <vt:lpwstr/>
      </vt:variant>
      <vt:variant>
        <vt:lpwstr>_Toc126840569</vt:lpwstr>
      </vt:variant>
      <vt:variant>
        <vt:i4>1769526</vt:i4>
      </vt:variant>
      <vt:variant>
        <vt:i4>92</vt:i4>
      </vt:variant>
      <vt:variant>
        <vt:i4>0</vt:i4>
      </vt:variant>
      <vt:variant>
        <vt:i4>5</vt:i4>
      </vt:variant>
      <vt:variant>
        <vt:lpwstr/>
      </vt:variant>
      <vt:variant>
        <vt:lpwstr>_Toc126840568</vt:lpwstr>
      </vt:variant>
      <vt:variant>
        <vt:i4>1769526</vt:i4>
      </vt:variant>
      <vt:variant>
        <vt:i4>86</vt:i4>
      </vt:variant>
      <vt:variant>
        <vt:i4>0</vt:i4>
      </vt:variant>
      <vt:variant>
        <vt:i4>5</vt:i4>
      </vt:variant>
      <vt:variant>
        <vt:lpwstr/>
      </vt:variant>
      <vt:variant>
        <vt:lpwstr>_Toc126840567</vt:lpwstr>
      </vt:variant>
      <vt:variant>
        <vt:i4>1769526</vt:i4>
      </vt:variant>
      <vt:variant>
        <vt:i4>80</vt:i4>
      </vt:variant>
      <vt:variant>
        <vt:i4>0</vt:i4>
      </vt:variant>
      <vt:variant>
        <vt:i4>5</vt:i4>
      </vt:variant>
      <vt:variant>
        <vt:lpwstr/>
      </vt:variant>
      <vt:variant>
        <vt:lpwstr>_Toc126840566</vt:lpwstr>
      </vt:variant>
      <vt:variant>
        <vt:i4>1769526</vt:i4>
      </vt:variant>
      <vt:variant>
        <vt:i4>74</vt:i4>
      </vt:variant>
      <vt:variant>
        <vt:i4>0</vt:i4>
      </vt:variant>
      <vt:variant>
        <vt:i4>5</vt:i4>
      </vt:variant>
      <vt:variant>
        <vt:lpwstr/>
      </vt:variant>
      <vt:variant>
        <vt:lpwstr>_Toc126840565</vt:lpwstr>
      </vt:variant>
      <vt:variant>
        <vt:i4>1769526</vt:i4>
      </vt:variant>
      <vt:variant>
        <vt:i4>68</vt:i4>
      </vt:variant>
      <vt:variant>
        <vt:i4>0</vt:i4>
      </vt:variant>
      <vt:variant>
        <vt:i4>5</vt:i4>
      </vt:variant>
      <vt:variant>
        <vt:lpwstr/>
      </vt:variant>
      <vt:variant>
        <vt:lpwstr>_Toc126840564</vt:lpwstr>
      </vt:variant>
      <vt:variant>
        <vt:i4>1769526</vt:i4>
      </vt:variant>
      <vt:variant>
        <vt:i4>62</vt:i4>
      </vt:variant>
      <vt:variant>
        <vt:i4>0</vt:i4>
      </vt:variant>
      <vt:variant>
        <vt:i4>5</vt:i4>
      </vt:variant>
      <vt:variant>
        <vt:lpwstr/>
      </vt:variant>
      <vt:variant>
        <vt:lpwstr>_Toc126840563</vt:lpwstr>
      </vt:variant>
      <vt:variant>
        <vt:i4>1769526</vt:i4>
      </vt:variant>
      <vt:variant>
        <vt:i4>56</vt:i4>
      </vt:variant>
      <vt:variant>
        <vt:i4>0</vt:i4>
      </vt:variant>
      <vt:variant>
        <vt:i4>5</vt:i4>
      </vt:variant>
      <vt:variant>
        <vt:lpwstr/>
      </vt:variant>
      <vt:variant>
        <vt:lpwstr>_Toc126840562</vt:lpwstr>
      </vt:variant>
      <vt:variant>
        <vt:i4>1769526</vt:i4>
      </vt:variant>
      <vt:variant>
        <vt:i4>50</vt:i4>
      </vt:variant>
      <vt:variant>
        <vt:i4>0</vt:i4>
      </vt:variant>
      <vt:variant>
        <vt:i4>5</vt:i4>
      </vt:variant>
      <vt:variant>
        <vt:lpwstr/>
      </vt:variant>
      <vt:variant>
        <vt:lpwstr>_Toc126840561</vt:lpwstr>
      </vt:variant>
      <vt:variant>
        <vt:i4>1769526</vt:i4>
      </vt:variant>
      <vt:variant>
        <vt:i4>44</vt:i4>
      </vt:variant>
      <vt:variant>
        <vt:i4>0</vt:i4>
      </vt:variant>
      <vt:variant>
        <vt:i4>5</vt:i4>
      </vt:variant>
      <vt:variant>
        <vt:lpwstr/>
      </vt:variant>
      <vt:variant>
        <vt:lpwstr>_Toc126840560</vt:lpwstr>
      </vt:variant>
      <vt:variant>
        <vt:i4>1572918</vt:i4>
      </vt:variant>
      <vt:variant>
        <vt:i4>38</vt:i4>
      </vt:variant>
      <vt:variant>
        <vt:i4>0</vt:i4>
      </vt:variant>
      <vt:variant>
        <vt:i4>5</vt:i4>
      </vt:variant>
      <vt:variant>
        <vt:lpwstr/>
      </vt:variant>
      <vt:variant>
        <vt:lpwstr>_Toc126840559</vt:lpwstr>
      </vt:variant>
      <vt:variant>
        <vt:i4>1572918</vt:i4>
      </vt:variant>
      <vt:variant>
        <vt:i4>32</vt:i4>
      </vt:variant>
      <vt:variant>
        <vt:i4>0</vt:i4>
      </vt:variant>
      <vt:variant>
        <vt:i4>5</vt:i4>
      </vt:variant>
      <vt:variant>
        <vt:lpwstr/>
      </vt:variant>
      <vt:variant>
        <vt:lpwstr>_Toc126840558</vt:lpwstr>
      </vt:variant>
      <vt:variant>
        <vt:i4>1572918</vt:i4>
      </vt:variant>
      <vt:variant>
        <vt:i4>26</vt:i4>
      </vt:variant>
      <vt:variant>
        <vt:i4>0</vt:i4>
      </vt:variant>
      <vt:variant>
        <vt:i4>5</vt:i4>
      </vt:variant>
      <vt:variant>
        <vt:lpwstr/>
      </vt:variant>
      <vt:variant>
        <vt:lpwstr>_Toc126840557</vt:lpwstr>
      </vt:variant>
      <vt:variant>
        <vt:i4>1572918</vt:i4>
      </vt:variant>
      <vt:variant>
        <vt:i4>20</vt:i4>
      </vt:variant>
      <vt:variant>
        <vt:i4>0</vt:i4>
      </vt:variant>
      <vt:variant>
        <vt:i4>5</vt:i4>
      </vt:variant>
      <vt:variant>
        <vt:lpwstr/>
      </vt:variant>
      <vt:variant>
        <vt:lpwstr>_Toc126840556</vt:lpwstr>
      </vt:variant>
      <vt:variant>
        <vt:i4>1572918</vt:i4>
      </vt:variant>
      <vt:variant>
        <vt:i4>14</vt:i4>
      </vt:variant>
      <vt:variant>
        <vt:i4>0</vt:i4>
      </vt:variant>
      <vt:variant>
        <vt:i4>5</vt:i4>
      </vt:variant>
      <vt:variant>
        <vt:lpwstr/>
      </vt:variant>
      <vt:variant>
        <vt:lpwstr>_Toc126840555</vt:lpwstr>
      </vt:variant>
      <vt:variant>
        <vt:i4>1572918</vt:i4>
      </vt:variant>
      <vt:variant>
        <vt:i4>8</vt:i4>
      </vt:variant>
      <vt:variant>
        <vt:i4>0</vt:i4>
      </vt:variant>
      <vt:variant>
        <vt:i4>5</vt:i4>
      </vt:variant>
      <vt:variant>
        <vt:lpwstr/>
      </vt:variant>
      <vt:variant>
        <vt:lpwstr>_Toc126840554</vt:lpwstr>
      </vt:variant>
      <vt:variant>
        <vt:i4>1572918</vt:i4>
      </vt:variant>
      <vt:variant>
        <vt:i4>2</vt:i4>
      </vt:variant>
      <vt:variant>
        <vt:i4>0</vt:i4>
      </vt:variant>
      <vt:variant>
        <vt:i4>5</vt:i4>
      </vt:variant>
      <vt:variant>
        <vt:lpwstr/>
      </vt:variant>
      <vt:variant>
        <vt:lpwstr>_Toc126840553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Trahms</dc:creator>
  <cp:keywords/>
  <dc:description/>
  <cp:lastModifiedBy>Kay McLellan</cp:lastModifiedBy>
  <cp:revision>2</cp:revision>
  <dcterms:created xsi:type="dcterms:W3CDTF">2024-08-20T10:28:00Z</dcterms:created>
  <dcterms:modified xsi:type="dcterms:W3CDTF">2024-08-20T10:28:00Z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0x0101000B7C47568CD9EC44AB1B7F98B91B476C1300E986B1E16963094EB5438DDECCD2197A</vt:lpwstr>
  </property>
  <property fmtid="{D5CDD505-2E9C-101B-9397-08002B2CF9AE}" pid="3" name="Committee">
    <vt:lpwstr/>
  </property>
  <property fmtid="{D5CDD505-2E9C-101B-9397-08002B2CF9AE}" pid="4" name="Directorate">
    <vt:lpwstr>1;#Financial Compliance|c69b4af8-4a9b-48da-8f3e-65ef90b81167</vt:lpwstr>
  </property>
  <property fmtid="{D5CDD505-2E9C-101B-9397-08002B2CF9AE}" pid="5" name="_dlc_DocIdItemGuid">
    <vt:lpwstr>3520ca27-7610-4096-80ea-7f17b54aac34</vt:lpwstr>
  </property>
  <property fmtid="{D5CDD505-2E9C-101B-9397-08002B2CF9AE}" pid="6" name="MediaServiceImageTags">
    <vt:lpwstr/>
  </property>
  <property fmtid="{D5CDD505-2E9C-101B-9397-08002B2CF9AE}" pid="7" name="TaxCatchAll">
    <vt:lpwstr>136;#Financial Compliance|c69b4af8-4a9b-48da-8f3e-65ef90b81167</vt:lpwstr>
  </property>
  <property fmtid="{D5CDD505-2E9C-101B-9397-08002B2CF9AE}" pid="8" name="BWPersonalInfo">
    <vt:lpwstr>No</vt:lpwstr>
  </property>
  <property fmtid="{D5CDD505-2E9C-101B-9397-08002B2CF9AE}" pid="9" name="BWMembersRecord">
    <vt:lpwstr>No</vt:lpwstr>
  </property>
  <property fmtid="{D5CDD505-2E9C-101B-9397-08002B2CF9AE}" pid="10" name="DocumentType">
    <vt:lpwstr>Inspection</vt:lpwstr>
  </property>
  <property fmtid="{D5CDD505-2E9C-101B-9397-08002B2CF9AE}" pid="11" name="m73f487bf6df40bd884c3d6035f2f3bf">
    <vt:lpwstr>Financial Compliance|c69b4af8-4a9b-48da-8f3e-65ef90b81167</vt:lpwstr>
  </property>
  <property fmtid="{D5CDD505-2E9C-101B-9397-08002B2CF9AE}" pid="12" name="j51334b8464a403e8708c44b550590d2">
    <vt:lpwstr/>
  </property>
  <property fmtid="{D5CDD505-2E9C-101B-9397-08002B2CF9AE}" pid="13" name="ClassificationContentMarkingHeaderShapeIds">
    <vt:lpwstr>6b9e6564,7bb36697,4108311b</vt:lpwstr>
  </property>
  <property fmtid="{D5CDD505-2E9C-101B-9397-08002B2CF9AE}" pid="14" name="ClassificationContentMarkingHeaderFontProps">
    <vt:lpwstr>#000000,10,Calibri</vt:lpwstr>
  </property>
  <property fmtid="{D5CDD505-2E9C-101B-9397-08002B2CF9AE}" pid="15" name="ClassificationContentMarkingHeaderText">
    <vt:lpwstr>REGULATION - SENSITIVE</vt:lpwstr>
  </property>
  <property fmtid="{D5CDD505-2E9C-101B-9397-08002B2CF9AE}" pid="16" name="MSIP_Label_061b4899-68cb-4669-9be8-5e7f10147940_Enabled">
    <vt:lpwstr>true</vt:lpwstr>
  </property>
  <property fmtid="{D5CDD505-2E9C-101B-9397-08002B2CF9AE}" pid="17" name="MSIP_Label_061b4899-68cb-4669-9be8-5e7f10147940_SetDate">
    <vt:lpwstr>2024-01-23T08:11:21Z</vt:lpwstr>
  </property>
  <property fmtid="{D5CDD505-2E9C-101B-9397-08002B2CF9AE}" pid="18" name="MSIP_Label_061b4899-68cb-4669-9be8-5e7f10147940_Method">
    <vt:lpwstr>Standard</vt:lpwstr>
  </property>
  <property fmtid="{D5CDD505-2E9C-101B-9397-08002B2CF9AE}" pid="19" name="MSIP_Label_061b4899-68cb-4669-9be8-5e7f10147940_Name">
    <vt:lpwstr>Regulation – Sensitive</vt:lpwstr>
  </property>
  <property fmtid="{D5CDD505-2E9C-101B-9397-08002B2CF9AE}" pid="20" name="MSIP_Label_061b4899-68cb-4669-9be8-5e7f10147940_SiteId">
    <vt:lpwstr>7ef8e0ea-4b47-426a-9398-1c0c216695b7</vt:lpwstr>
  </property>
  <property fmtid="{D5CDD505-2E9C-101B-9397-08002B2CF9AE}" pid="21" name="MSIP_Label_061b4899-68cb-4669-9be8-5e7f10147940_ActionId">
    <vt:lpwstr>56fe3b33-ce53-42d1-91ec-65ea4da38507</vt:lpwstr>
  </property>
  <property fmtid="{D5CDD505-2E9C-101B-9397-08002B2CF9AE}" pid="22" name="MSIP_Label_061b4899-68cb-4669-9be8-5e7f10147940_ContentBits">
    <vt:lpwstr>1</vt:lpwstr>
  </property>
</Properties>
</file>