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2835" w14:textId="77777777" w:rsidR="00013005" w:rsidRPr="00013005" w:rsidRDefault="002519B2" w:rsidP="00EE2298">
      <w:pPr>
        <w:rPr>
          <w:b/>
        </w:rPr>
      </w:pPr>
      <w:r w:rsidRPr="002519B2">
        <w:rPr>
          <w:b/>
        </w:rPr>
        <w:t>Diploma in Professional Legal Practice</w:t>
      </w:r>
      <w:r w:rsidR="00FB51F5">
        <w:rPr>
          <w:b/>
        </w:rPr>
        <w:t xml:space="preserve"> </w:t>
      </w:r>
      <w:r w:rsidR="00013005">
        <w:rPr>
          <w:b/>
        </w:rPr>
        <w:t xml:space="preserve"> </w:t>
      </w:r>
      <w:r w:rsidR="00EE2298">
        <w:rPr>
          <w:b/>
        </w:rPr>
        <w:t xml:space="preserve">- </w:t>
      </w:r>
      <w:r w:rsidR="00013005" w:rsidRPr="00013005">
        <w:rPr>
          <w:b/>
        </w:rPr>
        <w:t xml:space="preserve">University of Glasgow </w:t>
      </w:r>
      <w:r w:rsidR="00FB51F5" w:rsidRPr="002519B2">
        <w:rPr>
          <w:b/>
        </w:rPr>
        <w:t xml:space="preserve">Admissions </w:t>
      </w:r>
      <w:r w:rsidR="00FB51F5">
        <w:rPr>
          <w:b/>
        </w:rPr>
        <w:t>Policy</w:t>
      </w:r>
      <w:r w:rsidR="00FB51F5" w:rsidRPr="00013005">
        <w:rPr>
          <w:b/>
        </w:rPr>
        <w:t xml:space="preserve"> </w:t>
      </w:r>
    </w:p>
    <w:p w14:paraId="6D687C14" w14:textId="07214BF5" w:rsidR="002519B2" w:rsidRDefault="003B5D02" w:rsidP="002519B2">
      <w:pPr>
        <w:jc w:val="both"/>
      </w:pPr>
      <w:r>
        <w:t xml:space="preserve">The </w:t>
      </w:r>
      <w:r w:rsidR="00476353">
        <w:t xml:space="preserve">University of Glasgow </w:t>
      </w:r>
      <w:r w:rsidR="00FB51F5">
        <w:t xml:space="preserve">Admissions </w:t>
      </w:r>
      <w:r w:rsidR="00476353">
        <w:t>Policy</w:t>
      </w:r>
      <w:r w:rsidR="00FB51F5">
        <w:t xml:space="preserve"> for the Diploma in Professional Legal Practice</w:t>
      </w:r>
      <w:r w:rsidR="006163EE">
        <w:t xml:space="preserve"> (DPLP)</w:t>
      </w:r>
      <w:r w:rsidR="00476353">
        <w:t xml:space="preserve"> </w:t>
      </w:r>
      <w:r>
        <w:t>reflects the admissions guidance set out</w:t>
      </w:r>
      <w:r w:rsidR="00BE2E13">
        <w:t xml:space="preserve"> on the Law Society of Scotland’s website</w:t>
      </w:r>
      <w:r>
        <w:t xml:space="preserve">.  The Admissions Policy </w:t>
      </w:r>
      <w:r w:rsidR="00476353">
        <w:t>is as follows.</w:t>
      </w:r>
    </w:p>
    <w:p w14:paraId="5C6CEACC" w14:textId="77777777" w:rsidR="00476353" w:rsidRDefault="003C5642" w:rsidP="00476353">
      <w:pPr>
        <w:pStyle w:val="ListParagraph"/>
        <w:numPr>
          <w:ilvl w:val="0"/>
          <w:numId w:val="1"/>
        </w:numPr>
        <w:jc w:val="both"/>
      </w:pPr>
      <w:r>
        <w:t>O</w:t>
      </w:r>
      <w:r w:rsidR="00476353">
        <w:t>ffers</w:t>
      </w:r>
      <w:r>
        <w:t xml:space="preserve"> (inclusive of part-time and conditional offers)</w:t>
      </w:r>
      <w:r w:rsidR="00476353">
        <w:t xml:space="preserve"> </w:t>
      </w:r>
      <w:r w:rsidR="00A2438E">
        <w:t>may</w:t>
      </w:r>
      <w:r w:rsidR="00476353">
        <w:t xml:space="preserve"> be made </w:t>
      </w:r>
      <w:r>
        <w:t>to the top-ranked applicants, in accordance with the criteria set out below</w:t>
      </w:r>
      <w:r w:rsidR="00476353">
        <w:t>.</w:t>
      </w:r>
      <w:r>
        <w:t xml:space="preserve">  The number of offers made </w:t>
      </w:r>
      <w:r w:rsidR="00EE2298">
        <w:t>may</w:t>
      </w:r>
      <w:r>
        <w:t xml:space="preserve"> vary year on year, depending on capacity.</w:t>
      </w:r>
    </w:p>
    <w:p w14:paraId="597884BA" w14:textId="77777777" w:rsidR="009B6E78" w:rsidRDefault="009B6E78" w:rsidP="009B6E78">
      <w:pPr>
        <w:pStyle w:val="ListParagraph"/>
        <w:jc w:val="both"/>
      </w:pPr>
    </w:p>
    <w:p w14:paraId="7F88ADA1" w14:textId="150908A3" w:rsidR="0096704A" w:rsidRDefault="003C5642" w:rsidP="0096704A">
      <w:pPr>
        <w:pStyle w:val="ListParagraph"/>
        <w:numPr>
          <w:ilvl w:val="0"/>
          <w:numId w:val="1"/>
        </w:numPr>
        <w:jc w:val="both"/>
      </w:pPr>
      <w:r>
        <w:t>If the number of students to whom the Admissions Committee is willing to make an offer exceeds the number of places available, t</w:t>
      </w:r>
      <w:r w:rsidR="006B14CC">
        <w:t xml:space="preserve">he remaining students will be placed on a waiting list </w:t>
      </w:r>
      <w:r w:rsidR="00013005">
        <w:t>and offered</w:t>
      </w:r>
      <w:r w:rsidR="006B14CC">
        <w:t xml:space="preserve"> place</w:t>
      </w:r>
      <w:r w:rsidR="00013005">
        <w:t>s</w:t>
      </w:r>
      <w:r w:rsidR="00EE2298">
        <w:t xml:space="preserve"> (according to ranking)</w:t>
      </w:r>
      <w:r w:rsidR="006B14CC">
        <w:t xml:space="preserve"> </w:t>
      </w:r>
      <w:r w:rsidR="009B6E78">
        <w:t>as they become available (as successful applicants decline)</w:t>
      </w:r>
      <w:r w:rsidR="00BE2E13">
        <w:t xml:space="preserve"> in round two, but only where those students have not accepted an offer at another provider</w:t>
      </w:r>
      <w:r w:rsidR="009B6E78">
        <w:t xml:space="preserve">.  </w:t>
      </w:r>
    </w:p>
    <w:p w14:paraId="397A066E" w14:textId="77777777" w:rsidR="0096704A" w:rsidRDefault="0096704A" w:rsidP="0096704A">
      <w:pPr>
        <w:pStyle w:val="ListParagraph"/>
      </w:pPr>
    </w:p>
    <w:p w14:paraId="19557711" w14:textId="77777777" w:rsidR="000F407C" w:rsidRDefault="0096704A" w:rsidP="0096704A">
      <w:pPr>
        <w:pStyle w:val="ListParagraph"/>
        <w:numPr>
          <w:ilvl w:val="0"/>
          <w:numId w:val="1"/>
        </w:numPr>
        <w:jc w:val="both"/>
      </w:pPr>
      <w:r>
        <w:t xml:space="preserve">Ranking will </w:t>
      </w:r>
      <w:r w:rsidR="00EE2298">
        <w:t>be calculated</w:t>
      </w:r>
      <w:r>
        <w:t xml:space="preserve"> as follows.</w:t>
      </w:r>
    </w:p>
    <w:p w14:paraId="7EC57720" w14:textId="77777777" w:rsidR="006163EE" w:rsidRDefault="006163EE" w:rsidP="006163EE">
      <w:pPr>
        <w:pStyle w:val="ListParagraph"/>
      </w:pPr>
    </w:p>
    <w:p w14:paraId="7878106A" w14:textId="15BE9F77" w:rsidR="0096704A" w:rsidRDefault="0096704A" w:rsidP="000F407C">
      <w:pPr>
        <w:pStyle w:val="ListParagraph"/>
        <w:numPr>
          <w:ilvl w:val="1"/>
          <w:numId w:val="1"/>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Each applicant will be assigned a percentage, which represents their overall achievement in relation to the </w:t>
      </w:r>
      <w:r w:rsidR="00EE2298">
        <w:rPr>
          <w:rFonts w:ascii="Calibri" w:eastAsia="Times New Roman" w:hAnsi="Calibri" w:cs="Times New Roman"/>
          <w:color w:val="000000"/>
          <w:lang w:eastAsia="en-GB"/>
        </w:rPr>
        <w:t>F</w:t>
      </w:r>
      <w:r>
        <w:rPr>
          <w:rFonts w:ascii="Calibri" w:eastAsia="Times New Roman" w:hAnsi="Calibri" w:cs="Times New Roman"/>
          <w:color w:val="000000"/>
          <w:lang w:eastAsia="en-GB"/>
        </w:rPr>
        <w:t xml:space="preserve">oundation </w:t>
      </w:r>
      <w:r w:rsidR="00EE2298">
        <w:rPr>
          <w:rFonts w:ascii="Calibri" w:eastAsia="Times New Roman" w:hAnsi="Calibri" w:cs="Times New Roman"/>
          <w:color w:val="000000"/>
          <w:lang w:eastAsia="en-GB"/>
        </w:rPr>
        <w:t>S</w:t>
      </w:r>
      <w:r>
        <w:rPr>
          <w:rFonts w:ascii="Calibri" w:eastAsia="Times New Roman" w:hAnsi="Calibri" w:cs="Times New Roman"/>
          <w:color w:val="000000"/>
          <w:lang w:eastAsia="en-GB"/>
        </w:rPr>
        <w:t>ubjects</w:t>
      </w:r>
      <w:r w:rsidR="00EE2298">
        <w:rPr>
          <w:rStyle w:val="FootnoteReference"/>
          <w:rFonts w:ascii="Calibri" w:eastAsia="Times New Roman" w:hAnsi="Calibri" w:cs="Times New Roman"/>
          <w:color w:val="000000"/>
          <w:lang w:eastAsia="en-GB"/>
        </w:rPr>
        <w:footnoteReference w:id="1"/>
      </w:r>
      <w:r>
        <w:rPr>
          <w:rFonts w:ascii="Calibri" w:eastAsia="Times New Roman" w:hAnsi="Calibri" w:cs="Times New Roman"/>
          <w:color w:val="000000"/>
          <w:lang w:eastAsia="en-GB"/>
        </w:rPr>
        <w:t>.</w:t>
      </w:r>
      <w:r w:rsidR="00625F0D">
        <w:rPr>
          <w:rFonts w:ascii="Calibri" w:eastAsia="Times New Roman" w:hAnsi="Calibri" w:cs="Times New Roman"/>
          <w:color w:val="000000"/>
          <w:lang w:eastAsia="en-GB"/>
        </w:rPr>
        <w:t xml:space="preserve">  Please see </w:t>
      </w:r>
      <w:r w:rsidR="00C1168A">
        <w:rPr>
          <w:rFonts w:ascii="Calibri" w:eastAsia="Times New Roman" w:hAnsi="Calibri" w:cs="Times New Roman"/>
          <w:color w:val="000000"/>
          <w:lang w:eastAsia="en-GB"/>
        </w:rPr>
        <w:t xml:space="preserve">the </w:t>
      </w:r>
      <w:r w:rsidR="00625F0D">
        <w:rPr>
          <w:rFonts w:ascii="Calibri" w:eastAsia="Times New Roman" w:hAnsi="Calibri" w:cs="Times New Roman"/>
          <w:color w:val="000000"/>
          <w:lang w:eastAsia="en-GB"/>
        </w:rPr>
        <w:t xml:space="preserve">Appendix, which sets out how the percentages are calculated.  </w:t>
      </w:r>
    </w:p>
    <w:p w14:paraId="311AB436" w14:textId="77777777" w:rsidR="0096704A" w:rsidRDefault="0096704A" w:rsidP="0096704A">
      <w:pPr>
        <w:pStyle w:val="ListParagraph"/>
        <w:spacing w:after="0" w:line="240" w:lineRule="auto"/>
        <w:ind w:left="1440"/>
        <w:jc w:val="both"/>
        <w:rPr>
          <w:rFonts w:ascii="Calibri" w:eastAsia="Times New Roman" w:hAnsi="Calibri" w:cs="Times New Roman"/>
          <w:color w:val="000000"/>
          <w:lang w:eastAsia="en-GB"/>
        </w:rPr>
      </w:pPr>
    </w:p>
    <w:p w14:paraId="68803F46" w14:textId="77777777" w:rsidR="0096704A" w:rsidRDefault="0096704A" w:rsidP="000F407C">
      <w:pPr>
        <w:pStyle w:val="ListParagraph"/>
        <w:numPr>
          <w:ilvl w:val="1"/>
          <w:numId w:val="1"/>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Applicants will be ranked from first place (representing the applicant with the highest percentage) to last place (representing the applicant with the lowest percentage).</w:t>
      </w:r>
    </w:p>
    <w:p w14:paraId="1B086175" w14:textId="77777777" w:rsidR="0096704A" w:rsidRPr="0096704A" w:rsidRDefault="0096704A" w:rsidP="0096704A">
      <w:pPr>
        <w:pStyle w:val="ListParagraph"/>
        <w:rPr>
          <w:rFonts w:ascii="Calibri" w:eastAsia="Times New Roman" w:hAnsi="Calibri" w:cs="Times New Roman"/>
          <w:color w:val="000000"/>
          <w:lang w:eastAsia="en-GB"/>
        </w:rPr>
      </w:pPr>
    </w:p>
    <w:p w14:paraId="2B8F971A" w14:textId="77777777" w:rsidR="0096704A" w:rsidRDefault="0096704A" w:rsidP="000F407C">
      <w:pPr>
        <w:pStyle w:val="ListParagraph"/>
        <w:numPr>
          <w:ilvl w:val="1"/>
          <w:numId w:val="1"/>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Where two or more applicants have identical percentages, the following will be taken into account in order</w:t>
      </w:r>
      <w:r w:rsidR="00A340FE">
        <w:rPr>
          <w:rFonts w:ascii="Calibri" w:eastAsia="Times New Roman" w:hAnsi="Calibri" w:cs="Times New Roman"/>
          <w:color w:val="000000"/>
          <w:lang w:eastAsia="en-GB"/>
        </w:rPr>
        <w:t xml:space="preserve"> (from </w:t>
      </w:r>
      <w:proofErr w:type="spellStart"/>
      <w:r w:rsidR="00A340FE">
        <w:rPr>
          <w:rFonts w:ascii="Calibri" w:eastAsia="Times New Roman" w:hAnsi="Calibri" w:cs="Times New Roman"/>
          <w:color w:val="000000"/>
          <w:lang w:eastAsia="en-GB"/>
        </w:rPr>
        <w:t>i</w:t>
      </w:r>
      <w:proofErr w:type="spellEnd"/>
      <w:r w:rsidR="00A340FE">
        <w:rPr>
          <w:rFonts w:ascii="Calibri" w:eastAsia="Times New Roman" w:hAnsi="Calibri" w:cs="Times New Roman"/>
          <w:color w:val="000000"/>
          <w:lang w:eastAsia="en-GB"/>
        </w:rPr>
        <w:t xml:space="preserve"> to v)</w:t>
      </w:r>
      <w:r>
        <w:rPr>
          <w:rFonts w:ascii="Calibri" w:eastAsia="Times New Roman" w:hAnsi="Calibri" w:cs="Times New Roman"/>
          <w:color w:val="000000"/>
          <w:lang w:eastAsia="en-GB"/>
        </w:rPr>
        <w:t>:</w:t>
      </w:r>
    </w:p>
    <w:p w14:paraId="0A8E5EFD" w14:textId="77777777" w:rsidR="00C24C47" w:rsidRPr="00935A87" w:rsidRDefault="00C24C47" w:rsidP="00C24C47">
      <w:pPr>
        <w:pStyle w:val="ListParagraph"/>
        <w:rPr>
          <w:rFonts w:ascii="Calibri" w:eastAsia="Times New Roman" w:hAnsi="Calibri" w:cs="Times New Roman"/>
          <w:color w:val="000000"/>
          <w:lang w:eastAsia="en-GB"/>
        </w:rPr>
      </w:pPr>
    </w:p>
    <w:p w14:paraId="12DEB35B" w14:textId="77777777" w:rsidR="00C24C47" w:rsidRDefault="00C24C47" w:rsidP="00C24C47">
      <w:pPr>
        <w:pStyle w:val="ListParagraph"/>
        <w:numPr>
          <w:ilvl w:val="2"/>
          <w:numId w:val="2"/>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whether the applicant received an adjusted / widening access offer (or equivalent) when applying to higher education for the first time (an applicant who answered yes will be ranked higher);</w:t>
      </w:r>
    </w:p>
    <w:p w14:paraId="23FC8801" w14:textId="77777777" w:rsidR="00C24C47" w:rsidRDefault="00C24C47" w:rsidP="00C24C47">
      <w:pPr>
        <w:pStyle w:val="ListParagraph"/>
        <w:spacing w:after="0" w:line="240" w:lineRule="auto"/>
        <w:ind w:left="2340"/>
        <w:jc w:val="both"/>
        <w:rPr>
          <w:rFonts w:ascii="Calibri" w:eastAsia="Times New Roman" w:hAnsi="Calibri" w:cs="Times New Roman"/>
          <w:color w:val="000000"/>
          <w:lang w:eastAsia="en-GB"/>
        </w:rPr>
      </w:pPr>
    </w:p>
    <w:p w14:paraId="4AA320FF" w14:textId="77777777" w:rsidR="0096704A" w:rsidRDefault="0096704A" w:rsidP="00DA45E8">
      <w:pPr>
        <w:pStyle w:val="ListParagraph"/>
        <w:numPr>
          <w:ilvl w:val="2"/>
          <w:numId w:val="2"/>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number of fails in the </w:t>
      </w:r>
      <w:r w:rsidR="00EE2298">
        <w:rPr>
          <w:rFonts w:ascii="Calibri" w:eastAsia="Times New Roman" w:hAnsi="Calibri" w:cs="Times New Roman"/>
          <w:color w:val="000000"/>
          <w:lang w:eastAsia="en-GB"/>
        </w:rPr>
        <w:t>F</w:t>
      </w:r>
      <w:r>
        <w:rPr>
          <w:rFonts w:ascii="Calibri" w:eastAsia="Times New Roman" w:hAnsi="Calibri" w:cs="Times New Roman"/>
          <w:color w:val="000000"/>
          <w:lang w:eastAsia="en-GB"/>
        </w:rPr>
        <w:t xml:space="preserve">oundation </w:t>
      </w:r>
      <w:r w:rsidR="00EE2298">
        <w:rPr>
          <w:rFonts w:ascii="Calibri" w:eastAsia="Times New Roman" w:hAnsi="Calibri" w:cs="Times New Roman"/>
          <w:color w:val="000000"/>
          <w:lang w:eastAsia="en-GB"/>
        </w:rPr>
        <w:t>S</w:t>
      </w:r>
      <w:r>
        <w:rPr>
          <w:rFonts w:ascii="Calibri" w:eastAsia="Times New Roman" w:hAnsi="Calibri" w:cs="Times New Roman"/>
          <w:color w:val="000000"/>
          <w:lang w:eastAsia="en-GB"/>
        </w:rPr>
        <w:t>ubjects (the applicant with fewer</w:t>
      </w:r>
      <w:r w:rsidR="00625F0D">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fails will be ranked higher);</w:t>
      </w:r>
    </w:p>
    <w:p w14:paraId="6F35A203" w14:textId="77777777" w:rsidR="00625F0D" w:rsidRDefault="00625F0D" w:rsidP="00625F0D">
      <w:pPr>
        <w:pStyle w:val="ListParagraph"/>
        <w:spacing w:after="0" w:line="240" w:lineRule="auto"/>
        <w:ind w:left="2340"/>
        <w:jc w:val="both"/>
        <w:rPr>
          <w:rFonts w:ascii="Calibri" w:eastAsia="Times New Roman" w:hAnsi="Calibri" w:cs="Times New Roman"/>
          <w:color w:val="000000"/>
          <w:lang w:eastAsia="en-GB"/>
        </w:rPr>
      </w:pPr>
    </w:p>
    <w:p w14:paraId="779542F3" w14:textId="5252239C" w:rsidR="0053531F" w:rsidRDefault="0053531F" w:rsidP="0053531F">
      <w:pPr>
        <w:pStyle w:val="ListParagraph"/>
        <w:numPr>
          <w:ilvl w:val="2"/>
          <w:numId w:val="2"/>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the overall degree classification (the applicant with the higher honours classification (whether in law or, in the case of a graduate entry student, in another discipline) will be ranked higher);</w:t>
      </w:r>
    </w:p>
    <w:p w14:paraId="343659D7" w14:textId="77777777" w:rsidR="00625F0D" w:rsidRDefault="00625F0D" w:rsidP="00625F0D">
      <w:pPr>
        <w:pStyle w:val="ListParagraph"/>
        <w:spacing w:after="0" w:line="240" w:lineRule="auto"/>
        <w:ind w:left="2340"/>
        <w:jc w:val="both"/>
        <w:rPr>
          <w:rFonts w:ascii="Calibri" w:eastAsia="Times New Roman" w:hAnsi="Calibri" w:cs="Times New Roman"/>
          <w:color w:val="000000"/>
          <w:lang w:eastAsia="en-GB"/>
        </w:rPr>
      </w:pPr>
    </w:p>
    <w:p w14:paraId="242166CC" w14:textId="77777777" w:rsidR="00625F0D" w:rsidRDefault="0096704A" w:rsidP="00625F0D">
      <w:pPr>
        <w:pStyle w:val="ListParagraph"/>
        <w:numPr>
          <w:ilvl w:val="2"/>
          <w:numId w:val="2"/>
        </w:num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whether the applicant has a traineeship</w:t>
      </w:r>
      <w:r w:rsidR="00DA45E8">
        <w:rPr>
          <w:rFonts w:ascii="Calibri" w:eastAsia="Times New Roman" w:hAnsi="Calibri" w:cs="Times New Roman"/>
          <w:color w:val="000000"/>
          <w:lang w:eastAsia="en-GB"/>
        </w:rPr>
        <w:t xml:space="preserve"> </w:t>
      </w:r>
      <w:r w:rsidR="00A340FE">
        <w:rPr>
          <w:rFonts w:ascii="Calibri" w:eastAsia="Times New Roman" w:hAnsi="Calibri" w:cs="Times New Roman"/>
          <w:color w:val="000000"/>
          <w:lang w:eastAsia="en-GB"/>
        </w:rPr>
        <w:t>secured</w:t>
      </w:r>
      <w:r w:rsidR="00625F0D">
        <w:rPr>
          <w:rFonts w:ascii="Calibri" w:eastAsia="Times New Roman" w:hAnsi="Calibri" w:cs="Times New Roman"/>
          <w:color w:val="000000"/>
          <w:lang w:eastAsia="en-GB"/>
        </w:rPr>
        <w:t xml:space="preserve"> </w:t>
      </w:r>
      <w:r w:rsidR="00DA45E8">
        <w:rPr>
          <w:rFonts w:ascii="Calibri" w:eastAsia="Times New Roman" w:hAnsi="Calibri" w:cs="Times New Roman"/>
          <w:color w:val="000000"/>
          <w:lang w:eastAsia="en-GB"/>
        </w:rPr>
        <w:t>(</w:t>
      </w:r>
      <w:r w:rsidR="00625F0D">
        <w:rPr>
          <w:rFonts w:ascii="Calibri" w:eastAsia="Times New Roman" w:hAnsi="Calibri" w:cs="Times New Roman"/>
          <w:color w:val="000000"/>
          <w:lang w:eastAsia="en-GB"/>
        </w:rPr>
        <w:t xml:space="preserve">the applicant with a traineeship </w:t>
      </w:r>
      <w:r w:rsidR="00A340FE">
        <w:rPr>
          <w:rFonts w:ascii="Calibri" w:eastAsia="Times New Roman" w:hAnsi="Calibri" w:cs="Times New Roman"/>
          <w:color w:val="000000"/>
          <w:lang w:eastAsia="en-GB"/>
        </w:rPr>
        <w:t>secured</w:t>
      </w:r>
      <w:r w:rsidR="00625F0D">
        <w:rPr>
          <w:rFonts w:ascii="Calibri" w:eastAsia="Times New Roman" w:hAnsi="Calibri" w:cs="Times New Roman"/>
          <w:color w:val="000000"/>
          <w:lang w:eastAsia="en-GB"/>
        </w:rPr>
        <w:t xml:space="preserve"> will be ranked higher)</w:t>
      </w:r>
      <w:r>
        <w:rPr>
          <w:rFonts w:ascii="Calibri" w:eastAsia="Times New Roman" w:hAnsi="Calibri" w:cs="Times New Roman"/>
          <w:color w:val="000000"/>
          <w:lang w:eastAsia="en-GB"/>
        </w:rPr>
        <w:t xml:space="preserve">; </w:t>
      </w:r>
      <w:r w:rsidR="00625F0D">
        <w:rPr>
          <w:rFonts w:ascii="Calibri" w:eastAsia="Times New Roman" w:hAnsi="Calibri" w:cs="Times New Roman"/>
          <w:color w:val="000000"/>
          <w:lang w:eastAsia="en-GB"/>
        </w:rPr>
        <w:t>and</w:t>
      </w:r>
    </w:p>
    <w:p w14:paraId="307163D9" w14:textId="77777777" w:rsidR="00625F0D" w:rsidRPr="00625F0D" w:rsidRDefault="00625F0D" w:rsidP="00625F0D">
      <w:pPr>
        <w:pStyle w:val="ListParagraph"/>
        <w:rPr>
          <w:rFonts w:ascii="Calibri" w:eastAsia="Times New Roman" w:hAnsi="Calibri" w:cs="Times New Roman"/>
          <w:color w:val="000000"/>
          <w:lang w:eastAsia="en-GB"/>
        </w:rPr>
      </w:pPr>
    </w:p>
    <w:p w14:paraId="0910371B" w14:textId="1D707238" w:rsidR="0053531F" w:rsidRDefault="00625F0D" w:rsidP="0053531F">
      <w:pPr>
        <w:pStyle w:val="ListParagraph"/>
        <w:numPr>
          <w:ilvl w:val="2"/>
          <w:numId w:val="2"/>
        </w:numPr>
        <w:spacing w:after="0" w:line="240" w:lineRule="auto"/>
        <w:jc w:val="both"/>
        <w:rPr>
          <w:rFonts w:ascii="Calibri" w:eastAsia="Times New Roman" w:hAnsi="Calibri" w:cs="Times New Roman"/>
          <w:color w:val="000000"/>
          <w:lang w:eastAsia="en-GB"/>
        </w:rPr>
      </w:pPr>
      <w:r w:rsidRPr="00625F0D">
        <w:rPr>
          <w:rFonts w:ascii="Calibri" w:eastAsia="Times New Roman" w:hAnsi="Calibri" w:cs="Times New Roman"/>
          <w:color w:val="000000"/>
          <w:lang w:eastAsia="en-GB"/>
        </w:rPr>
        <w:t xml:space="preserve">any other factor the Admissions Committee thinks is relevant.  </w:t>
      </w:r>
    </w:p>
    <w:p w14:paraId="1414EA88" w14:textId="77777777" w:rsidR="00E80372" w:rsidRPr="00E80372" w:rsidRDefault="00E80372" w:rsidP="00E80372">
      <w:pPr>
        <w:pStyle w:val="ListParagraph"/>
        <w:spacing w:after="0" w:line="240" w:lineRule="auto"/>
        <w:jc w:val="both"/>
      </w:pPr>
    </w:p>
    <w:p w14:paraId="0A030989" w14:textId="6F73DA8C" w:rsidR="0053531F" w:rsidRPr="0020724C" w:rsidRDefault="0053531F" w:rsidP="00D44F77">
      <w:pPr>
        <w:pStyle w:val="ListParagraph"/>
        <w:numPr>
          <w:ilvl w:val="0"/>
          <w:numId w:val="1"/>
        </w:numPr>
        <w:spacing w:after="0" w:line="240" w:lineRule="auto"/>
        <w:jc w:val="both"/>
      </w:pPr>
      <w:r w:rsidRPr="0053531F">
        <w:rPr>
          <w:rFonts w:ascii="Calibri" w:eastAsia="Times New Roman" w:hAnsi="Calibri" w:cs="Times New Roman"/>
          <w:color w:val="000000"/>
          <w:lang w:eastAsia="en-GB"/>
        </w:rPr>
        <w:t xml:space="preserve">The Admissions Committee will consider all applicants who have disclosed special circumstances.  The Admissions Committee has discretion to offer places to any </w:t>
      </w:r>
      <w:r>
        <w:rPr>
          <w:rFonts w:ascii="Calibri" w:eastAsia="Times New Roman" w:hAnsi="Calibri" w:cs="Times New Roman"/>
          <w:color w:val="000000"/>
          <w:lang w:eastAsia="en-GB"/>
        </w:rPr>
        <w:t>applicant</w:t>
      </w:r>
      <w:r w:rsidRPr="0053531F">
        <w:rPr>
          <w:rFonts w:ascii="Calibri" w:eastAsia="Times New Roman" w:hAnsi="Calibri" w:cs="Times New Roman"/>
          <w:color w:val="000000"/>
          <w:lang w:eastAsia="en-GB"/>
        </w:rPr>
        <w:t xml:space="preserve"> who has disclosed special circumstances, even if that </w:t>
      </w:r>
      <w:r>
        <w:rPr>
          <w:rFonts w:ascii="Calibri" w:eastAsia="Times New Roman" w:hAnsi="Calibri" w:cs="Times New Roman"/>
          <w:color w:val="000000"/>
          <w:lang w:eastAsia="en-GB"/>
        </w:rPr>
        <w:t>applicant</w:t>
      </w:r>
      <w:r w:rsidRPr="0053531F">
        <w:rPr>
          <w:rFonts w:ascii="Calibri" w:eastAsia="Times New Roman" w:hAnsi="Calibri" w:cs="Times New Roman"/>
          <w:color w:val="000000"/>
          <w:lang w:eastAsia="en-GB"/>
        </w:rPr>
        <w:t xml:space="preserve"> would not have been offered a </w:t>
      </w:r>
      <w:r w:rsidRPr="0053531F">
        <w:rPr>
          <w:rFonts w:ascii="Calibri" w:eastAsia="Times New Roman" w:hAnsi="Calibri" w:cs="Times New Roman"/>
          <w:color w:val="000000"/>
          <w:lang w:eastAsia="en-GB"/>
        </w:rPr>
        <w:lastRenderedPageBreak/>
        <w:t xml:space="preserve">place due to ranking.  </w:t>
      </w:r>
      <w:r w:rsidR="00BE2E13">
        <w:rPr>
          <w:rFonts w:ascii="Calibri" w:eastAsia="Times New Roman" w:hAnsi="Calibri" w:cs="Times New Roman"/>
          <w:color w:val="000000"/>
          <w:lang w:eastAsia="en-GB"/>
        </w:rPr>
        <w:t>When using discretion, the Admissions Committee will consider an applicant’s</w:t>
      </w:r>
      <w:r w:rsidR="00EE01F5">
        <w:rPr>
          <w:rFonts w:ascii="Calibri" w:eastAsia="Times New Roman" w:hAnsi="Calibri" w:cs="Times New Roman"/>
          <w:color w:val="000000"/>
          <w:lang w:eastAsia="en-GB"/>
        </w:rPr>
        <w:t xml:space="preserve"> special</w:t>
      </w:r>
      <w:r w:rsidR="00BE2E13">
        <w:rPr>
          <w:rFonts w:ascii="Calibri" w:eastAsia="Times New Roman" w:hAnsi="Calibri" w:cs="Times New Roman"/>
          <w:color w:val="000000"/>
          <w:lang w:eastAsia="en-GB"/>
        </w:rPr>
        <w:t xml:space="preserve"> circumstances, together with the applicant’s place in the overall rankings.</w:t>
      </w:r>
    </w:p>
    <w:p w14:paraId="514731D1" w14:textId="77777777" w:rsidR="0020724C" w:rsidRPr="0020724C" w:rsidRDefault="0020724C" w:rsidP="0020724C">
      <w:pPr>
        <w:pStyle w:val="ListParagraph"/>
        <w:spacing w:after="0" w:line="240" w:lineRule="auto"/>
        <w:jc w:val="both"/>
      </w:pPr>
    </w:p>
    <w:p w14:paraId="7505F88C" w14:textId="312AC7FE" w:rsidR="0020724C" w:rsidRPr="0053531F" w:rsidRDefault="0020724C" w:rsidP="00D44F77">
      <w:pPr>
        <w:pStyle w:val="ListParagraph"/>
        <w:numPr>
          <w:ilvl w:val="0"/>
          <w:numId w:val="1"/>
        </w:numPr>
        <w:spacing w:after="0" w:line="240" w:lineRule="auto"/>
        <w:jc w:val="both"/>
      </w:pPr>
      <w:r>
        <w:rPr>
          <w:rFonts w:ascii="Calibri" w:eastAsia="Times New Roman" w:hAnsi="Calibri" w:cs="Times New Roman"/>
          <w:color w:val="000000"/>
          <w:lang w:eastAsia="en-GB"/>
        </w:rPr>
        <w:t>The Admissions Committee has discretion to place weight on applicants’ provider choice and make offers accordingly.</w:t>
      </w:r>
    </w:p>
    <w:p w14:paraId="3191753B" w14:textId="77777777" w:rsidR="0053531F" w:rsidRDefault="0053531F" w:rsidP="0053531F">
      <w:pPr>
        <w:pStyle w:val="ListParagraph"/>
        <w:spacing w:after="0" w:line="240" w:lineRule="auto"/>
        <w:jc w:val="both"/>
      </w:pPr>
    </w:p>
    <w:p w14:paraId="344B3592" w14:textId="77777777" w:rsidR="003C5642" w:rsidRDefault="004F1C73" w:rsidP="004F1C73">
      <w:pPr>
        <w:pStyle w:val="ListParagraph"/>
        <w:numPr>
          <w:ilvl w:val="0"/>
          <w:numId w:val="1"/>
        </w:numPr>
        <w:jc w:val="both"/>
      </w:pPr>
      <w:r>
        <w:t xml:space="preserve">The Admissions Committee has discretion to make </w:t>
      </w:r>
      <w:r w:rsidR="00EE2298">
        <w:t xml:space="preserve">or decline to make </w:t>
      </w:r>
      <w:r>
        <w:t xml:space="preserve">an offer to any applicant, regardless of ranking.   </w:t>
      </w:r>
    </w:p>
    <w:p w14:paraId="478DB53D" w14:textId="0BEF2540" w:rsidR="00C070F7" w:rsidRDefault="00FB51F5" w:rsidP="00C1168A">
      <w:pPr>
        <w:rPr>
          <w:b/>
          <w:bCs/>
        </w:rPr>
      </w:pPr>
      <w:r>
        <w:br w:type="page"/>
      </w:r>
    </w:p>
    <w:p w14:paraId="680DF18D" w14:textId="7074C457" w:rsidR="00FB51F5" w:rsidRPr="00625F0D" w:rsidRDefault="00625F0D" w:rsidP="00FB51F5">
      <w:pPr>
        <w:jc w:val="both"/>
        <w:rPr>
          <w:b/>
          <w:bCs/>
        </w:rPr>
      </w:pPr>
      <w:r w:rsidRPr="00625F0D">
        <w:rPr>
          <w:b/>
          <w:bCs/>
        </w:rPr>
        <w:lastRenderedPageBreak/>
        <w:t xml:space="preserve">Appendix </w:t>
      </w:r>
    </w:p>
    <w:p w14:paraId="79F895C5" w14:textId="77777777" w:rsidR="00625F0D" w:rsidRDefault="00625F0D" w:rsidP="00FB51F5">
      <w:pPr>
        <w:jc w:val="both"/>
        <w:rPr>
          <w:b/>
          <w:bCs/>
        </w:rPr>
      </w:pPr>
      <w:r w:rsidRPr="00625F0D">
        <w:rPr>
          <w:b/>
          <w:bCs/>
        </w:rPr>
        <w:t>Percentage Calculation</w:t>
      </w:r>
    </w:p>
    <w:p w14:paraId="5096A7D1" w14:textId="4FC366C0" w:rsidR="006163EE" w:rsidRPr="006163EE" w:rsidRDefault="006163EE" w:rsidP="00FB51F5">
      <w:pPr>
        <w:jc w:val="both"/>
      </w:pPr>
      <w:r w:rsidRPr="006163EE">
        <w:t xml:space="preserve">Each </w:t>
      </w:r>
      <w:r>
        <w:t xml:space="preserve">applicant will be assigned a percentage which reflects that applicant’s overall achievement in the foundation subjects. </w:t>
      </w:r>
      <w:r w:rsidR="002D68BF">
        <w:t xml:space="preserve"> </w:t>
      </w:r>
      <w:r>
        <w:t xml:space="preserve"> </w:t>
      </w:r>
      <w:r w:rsidR="002D68BF">
        <w:t xml:space="preserve">There must be a level playing field, to allow us to assess and rank each applicant fairly.  There are three main issues which affect such assessment and ranking: (1) information obtained from different providers using bespoke grading systems; (2) applicants from the University of Glasgow with degrees from some years ago; and (3) applicants who have achieved ad hoc qualifications from the Law Society of Scotland.   </w:t>
      </w:r>
    </w:p>
    <w:p w14:paraId="3EB0E381" w14:textId="77777777" w:rsidR="006163EE" w:rsidRPr="006163EE" w:rsidRDefault="006163EE" w:rsidP="006163EE">
      <w:pPr>
        <w:jc w:val="both"/>
        <w:rPr>
          <w:b/>
          <w:bCs/>
        </w:rPr>
      </w:pPr>
      <w:r>
        <w:rPr>
          <w:b/>
          <w:bCs/>
        </w:rPr>
        <w:t xml:space="preserve">1.  </w:t>
      </w:r>
      <w:r w:rsidRPr="006163EE">
        <w:rPr>
          <w:b/>
          <w:bCs/>
        </w:rPr>
        <w:t>Different Providers</w:t>
      </w:r>
    </w:p>
    <w:p w14:paraId="75455F32" w14:textId="67F0907E" w:rsidR="00B607D0" w:rsidRPr="00B607D0" w:rsidRDefault="00B607D0" w:rsidP="006163EE">
      <w:pPr>
        <w:jc w:val="both"/>
        <w:rPr>
          <w:b/>
          <w:bCs/>
        </w:rPr>
      </w:pPr>
      <w:r w:rsidRPr="00B607D0">
        <w:rPr>
          <w:b/>
          <w:bCs/>
        </w:rPr>
        <w:t>a) Stage One: Conversion to Percentage</w:t>
      </w:r>
    </w:p>
    <w:p w14:paraId="231498E4" w14:textId="7663FF48" w:rsidR="006163EE" w:rsidRDefault="006163EE" w:rsidP="006163EE">
      <w:pPr>
        <w:jc w:val="both"/>
      </w:pPr>
      <w:r>
        <w:t xml:space="preserve">Grade Point Averages (GPAs) are converted, where necessary, from a scale to percentages.  Please see </w:t>
      </w:r>
      <w:r w:rsidR="00EE2298">
        <w:t>Table A below</w:t>
      </w:r>
      <w:r>
        <w:t xml:space="preserve">.  </w:t>
      </w:r>
    </w:p>
    <w:tbl>
      <w:tblPr>
        <w:tblStyle w:val="TableGrid"/>
        <w:tblW w:w="8500" w:type="dxa"/>
        <w:tblLook w:val="04A0" w:firstRow="1" w:lastRow="0" w:firstColumn="1" w:lastColumn="0" w:noHBand="0" w:noVBand="1"/>
      </w:tblPr>
      <w:tblGrid>
        <w:gridCol w:w="2405"/>
        <w:gridCol w:w="2693"/>
        <w:gridCol w:w="3402"/>
      </w:tblGrid>
      <w:tr w:rsidR="00EE2298" w14:paraId="1BA3CFE7" w14:textId="77777777" w:rsidTr="007248C5">
        <w:tc>
          <w:tcPr>
            <w:tcW w:w="8500" w:type="dxa"/>
            <w:gridSpan w:val="3"/>
            <w:shd w:val="clear" w:color="auto" w:fill="F7CAAC" w:themeFill="accent2" w:themeFillTint="66"/>
          </w:tcPr>
          <w:p w14:paraId="683A322D" w14:textId="77777777" w:rsidR="00EE2298" w:rsidRDefault="00EE2298" w:rsidP="00AA196C">
            <w:pPr>
              <w:jc w:val="both"/>
              <w:rPr>
                <w:b/>
                <w:bCs/>
              </w:rPr>
            </w:pPr>
            <w:r>
              <w:rPr>
                <w:b/>
                <w:bCs/>
              </w:rPr>
              <w:t>Table A</w:t>
            </w:r>
          </w:p>
        </w:tc>
      </w:tr>
      <w:tr w:rsidR="006163EE" w14:paraId="2F211C6A" w14:textId="77777777" w:rsidTr="00AA196C">
        <w:tc>
          <w:tcPr>
            <w:tcW w:w="2405" w:type="dxa"/>
            <w:shd w:val="clear" w:color="auto" w:fill="F7CAAC" w:themeFill="accent2" w:themeFillTint="66"/>
          </w:tcPr>
          <w:p w14:paraId="766B8571" w14:textId="77777777" w:rsidR="006163EE" w:rsidRPr="00714B01" w:rsidRDefault="006163EE" w:rsidP="00AA196C">
            <w:pPr>
              <w:jc w:val="both"/>
              <w:rPr>
                <w:b/>
                <w:bCs/>
              </w:rPr>
            </w:pPr>
            <w:bookmarkStart w:id="0" w:name="_Hlk11661979"/>
            <w:r w:rsidRPr="00714B01">
              <w:rPr>
                <w:b/>
                <w:bCs/>
              </w:rPr>
              <w:t>Provider</w:t>
            </w:r>
          </w:p>
        </w:tc>
        <w:tc>
          <w:tcPr>
            <w:tcW w:w="2693" w:type="dxa"/>
            <w:shd w:val="clear" w:color="auto" w:fill="F7CAAC" w:themeFill="accent2" w:themeFillTint="66"/>
          </w:tcPr>
          <w:p w14:paraId="15EB268E" w14:textId="77777777" w:rsidR="006163EE" w:rsidRPr="00714B01" w:rsidRDefault="006163EE" w:rsidP="00AA196C">
            <w:pPr>
              <w:jc w:val="both"/>
              <w:rPr>
                <w:b/>
                <w:bCs/>
              </w:rPr>
            </w:pPr>
            <w:r w:rsidRPr="00714B01">
              <w:rPr>
                <w:b/>
                <w:bCs/>
              </w:rPr>
              <w:t>System</w:t>
            </w:r>
          </w:p>
        </w:tc>
        <w:tc>
          <w:tcPr>
            <w:tcW w:w="3402" w:type="dxa"/>
            <w:shd w:val="clear" w:color="auto" w:fill="F7CAAC" w:themeFill="accent2" w:themeFillTint="66"/>
          </w:tcPr>
          <w:p w14:paraId="7932DBA4" w14:textId="77777777" w:rsidR="006163EE" w:rsidRPr="00714B01" w:rsidRDefault="006163EE" w:rsidP="00AA196C">
            <w:pPr>
              <w:jc w:val="both"/>
              <w:rPr>
                <w:b/>
                <w:bCs/>
              </w:rPr>
            </w:pPr>
            <w:r>
              <w:rPr>
                <w:b/>
                <w:bCs/>
              </w:rPr>
              <w:t>Conversion</w:t>
            </w:r>
          </w:p>
        </w:tc>
      </w:tr>
      <w:tr w:rsidR="006163EE" w14:paraId="6758D5A8" w14:textId="77777777" w:rsidTr="00AA196C">
        <w:trPr>
          <w:trHeight w:val="567"/>
        </w:trPr>
        <w:tc>
          <w:tcPr>
            <w:tcW w:w="2405" w:type="dxa"/>
            <w:vAlign w:val="center"/>
          </w:tcPr>
          <w:p w14:paraId="244BCF79" w14:textId="77777777" w:rsidR="006163EE" w:rsidRDefault="006163EE" w:rsidP="00AA196C">
            <w:pPr>
              <w:jc w:val="both"/>
            </w:pPr>
            <w:r>
              <w:t>Aberdeen</w:t>
            </w:r>
          </w:p>
        </w:tc>
        <w:tc>
          <w:tcPr>
            <w:tcW w:w="2693" w:type="dxa"/>
            <w:vAlign w:val="center"/>
          </w:tcPr>
          <w:p w14:paraId="0B631AF2" w14:textId="77777777" w:rsidR="006163EE" w:rsidRDefault="006163EE" w:rsidP="00AA196C">
            <w:pPr>
              <w:jc w:val="both"/>
            </w:pPr>
          </w:p>
          <w:p w14:paraId="740D5C0D" w14:textId="77777777" w:rsidR="006163EE" w:rsidRDefault="006163EE" w:rsidP="00AA196C">
            <w:pPr>
              <w:jc w:val="both"/>
            </w:pPr>
            <w:r>
              <w:t>22 point scale - GPA</w:t>
            </w:r>
          </w:p>
          <w:p w14:paraId="3F914A05" w14:textId="77777777" w:rsidR="006163EE" w:rsidRDefault="006163EE" w:rsidP="00AA196C">
            <w:pPr>
              <w:jc w:val="both"/>
            </w:pPr>
          </w:p>
        </w:tc>
        <w:tc>
          <w:tcPr>
            <w:tcW w:w="3402" w:type="dxa"/>
            <w:vAlign w:val="center"/>
          </w:tcPr>
          <w:p w14:paraId="43D17FDA" w14:textId="77777777" w:rsidR="006163EE" w:rsidRDefault="006163EE" w:rsidP="00AA196C">
            <w:pPr>
              <w:jc w:val="both"/>
            </w:pPr>
            <w:r>
              <w:t>Conversion to percentage:</w:t>
            </w:r>
          </w:p>
          <w:p w14:paraId="5722A676" w14:textId="77777777" w:rsidR="006163EE" w:rsidRDefault="006163EE" w:rsidP="00AA196C">
            <w:pPr>
              <w:jc w:val="both"/>
            </w:pPr>
            <w:r>
              <w:t>X/22*100</w:t>
            </w:r>
          </w:p>
        </w:tc>
      </w:tr>
      <w:tr w:rsidR="006163EE" w14:paraId="36B5FDE2" w14:textId="77777777" w:rsidTr="00AA196C">
        <w:trPr>
          <w:trHeight w:val="567"/>
        </w:trPr>
        <w:tc>
          <w:tcPr>
            <w:tcW w:w="2405" w:type="dxa"/>
            <w:vAlign w:val="center"/>
          </w:tcPr>
          <w:p w14:paraId="5609713C" w14:textId="77777777" w:rsidR="006163EE" w:rsidRDefault="006163EE" w:rsidP="00AA196C">
            <w:pPr>
              <w:jc w:val="both"/>
            </w:pPr>
            <w:r>
              <w:t>Abertay</w:t>
            </w:r>
          </w:p>
        </w:tc>
        <w:tc>
          <w:tcPr>
            <w:tcW w:w="2693" w:type="dxa"/>
            <w:vAlign w:val="center"/>
          </w:tcPr>
          <w:p w14:paraId="4349F785" w14:textId="77777777" w:rsidR="006163EE" w:rsidRDefault="006163EE" w:rsidP="00AA196C">
            <w:pPr>
              <w:jc w:val="both"/>
            </w:pPr>
            <w:r>
              <w:t>4.5 point scale - GPA</w:t>
            </w:r>
          </w:p>
        </w:tc>
        <w:tc>
          <w:tcPr>
            <w:tcW w:w="3402" w:type="dxa"/>
            <w:vAlign w:val="center"/>
          </w:tcPr>
          <w:p w14:paraId="07A9724D" w14:textId="77777777" w:rsidR="006163EE" w:rsidRDefault="006163EE" w:rsidP="00AA196C">
            <w:pPr>
              <w:jc w:val="both"/>
            </w:pPr>
            <w:r>
              <w:t>Conversion to percentage:</w:t>
            </w:r>
          </w:p>
          <w:p w14:paraId="0A92A44E" w14:textId="77777777" w:rsidR="006163EE" w:rsidRDefault="006163EE" w:rsidP="00AA196C">
            <w:pPr>
              <w:jc w:val="both"/>
            </w:pPr>
            <w:r>
              <w:t>X/4.5*100</w:t>
            </w:r>
          </w:p>
        </w:tc>
      </w:tr>
      <w:tr w:rsidR="006163EE" w14:paraId="06E026ED" w14:textId="77777777" w:rsidTr="00AA196C">
        <w:trPr>
          <w:trHeight w:val="567"/>
        </w:trPr>
        <w:tc>
          <w:tcPr>
            <w:tcW w:w="2405" w:type="dxa"/>
            <w:vAlign w:val="center"/>
          </w:tcPr>
          <w:p w14:paraId="7ED98DC1" w14:textId="77777777" w:rsidR="006163EE" w:rsidRDefault="006163EE" w:rsidP="00AA196C">
            <w:pPr>
              <w:jc w:val="both"/>
            </w:pPr>
            <w:r>
              <w:t>Dundee</w:t>
            </w:r>
          </w:p>
        </w:tc>
        <w:tc>
          <w:tcPr>
            <w:tcW w:w="2693" w:type="dxa"/>
            <w:vAlign w:val="center"/>
          </w:tcPr>
          <w:p w14:paraId="7B203054" w14:textId="77777777" w:rsidR="006163EE" w:rsidRDefault="006163EE" w:rsidP="00AA196C">
            <w:pPr>
              <w:jc w:val="both"/>
            </w:pPr>
          </w:p>
          <w:p w14:paraId="1CEAF33D" w14:textId="77777777" w:rsidR="006163EE" w:rsidRDefault="006163EE" w:rsidP="00AA196C">
            <w:pPr>
              <w:jc w:val="both"/>
            </w:pPr>
            <w:r>
              <w:t>23 point scale - GPA</w:t>
            </w:r>
          </w:p>
          <w:p w14:paraId="7C823436" w14:textId="77777777" w:rsidR="006163EE" w:rsidRDefault="006163EE" w:rsidP="00AA196C">
            <w:pPr>
              <w:jc w:val="both"/>
            </w:pPr>
          </w:p>
        </w:tc>
        <w:tc>
          <w:tcPr>
            <w:tcW w:w="3402" w:type="dxa"/>
            <w:vAlign w:val="center"/>
          </w:tcPr>
          <w:p w14:paraId="2A19FFA4" w14:textId="77777777" w:rsidR="006163EE" w:rsidRDefault="006163EE" w:rsidP="00AA196C">
            <w:pPr>
              <w:jc w:val="both"/>
            </w:pPr>
            <w:r>
              <w:t>Conversion to percentage:</w:t>
            </w:r>
          </w:p>
          <w:p w14:paraId="42711284" w14:textId="77777777" w:rsidR="006163EE" w:rsidRDefault="006163EE" w:rsidP="00AA196C">
            <w:pPr>
              <w:jc w:val="both"/>
            </w:pPr>
            <w:r>
              <w:t>X/23*100</w:t>
            </w:r>
          </w:p>
        </w:tc>
      </w:tr>
      <w:tr w:rsidR="006163EE" w14:paraId="27000D72" w14:textId="77777777" w:rsidTr="00AA196C">
        <w:trPr>
          <w:trHeight w:val="567"/>
        </w:trPr>
        <w:tc>
          <w:tcPr>
            <w:tcW w:w="2405" w:type="dxa"/>
            <w:vAlign w:val="center"/>
          </w:tcPr>
          <w:p w14:paraId="604204D3" w14:textId="77777777" w:rsidR="006163EE" w:rsidRDefault="006163EE" w:rsidP="00AA196C">
            <w:pPr>
              <w:jc w:val="both"/>
            </w:pPr>
            <w:r>
              <w:t>Edinburgh</w:t>
            </w:r>
          </w:p>
        </w:tc>
        <w:tc>
          <w:tcPr>
            <w:tcW w:w="2693" w:type="dxa"/>
            <w:vAlign w:val="center"/>
          </w:tcPr>
          <w:p w14:paraId="5FBFEB5E" w14:textId="77777777" w:rsidR="006163EE" w:rsidRDefault="006163EE" w:rsidP="00AA196C">
            <w:pPr>
              <w:jc w:val="both"/>
            </w:pPr>
            <w:r>
              <w:t>Percentage</w:t>
            </w:r>
          </w:p>
        </w:tc>
        <w:tc>
          <w:tcPr>
            <w:tcW w:w="3402" w:type="dxa"/>
            <w:vAlign w:val="center"/>
          </w:tcPr>
          <w:p w14:paraId="60B55162" w14:textId="77777777" w:rsidR="006163EE" w:rsidRDefault="006163EE" w:rsidP="00AA196C">
            <w:pPr>
              <w:jc w:val="both"/>
            </w:pPr>
            <w:r>
              <w:t>n/a</w:t>
            </w:r>
          </w:p>
        </w:tc>
      </w:tr>
      <w:tr w:rsidR="006163EE" w14:paraId="04F63E3D" w14:textId="77777777" w:rsidTr="00AA196C">
        <w:trPr>
          <w:trHeight w:val="567"/>
        </w:trPr>
        <w:tc>
          <w:tcPr>
            <w:tcW w:w="2405" w:type="dxa"/>
            <w:vAlign w:val="center"/>
          </w:tcPr>
          <w:p w14:paraId="48109705" w14:textId="77777777" w:rsidR="006163EE" w:rsidRDefault="006163EE" w:rsidP="00AA196C">
            <w:pPr>
              <w:jc w:val="both"/>
            </w:pPr>
            <w:r>
              <w:t>Glasgow Caledonian</w:t>
            </w:r>
          </w:p>
        </w:tc>
        <w:tc>
          <w:tcPr>
            <w:tcW w:w="2693" w:type="dxa"/>
            <w:vAlign w:val="center"/>
          </w:tcPr>
          <w:p w14:paraId="3F7E7508" w14:textId="77777777" w:rsidR="006163EE" w:rsidRDefault="006163EE" w:rsidP="00AA196C">
            <w:pPr>
              <w:jc w:val="both"/>
            </w:pPr>
            <w:r>
              <w:t>Percentage</w:t>
            </w:r>
          </w:p>
        </w:tc>
        <w:tc>
          <w:tcPr>
            <w:tcW w:w="3402" w:type="dxa"/>
            <w:vAlign w:val="center"/>
          </w:tcPr>
          <w:p w14:paraId="715C820E" w14:textId="77777777" w:rsidR="006163EE" w:rsidRDefault="006163EE" w:rsidP="00AA196C">
            <w:pPr>
              <w:jc w:val="both"/>
            </w:pPr>
            <w:r>
              <w:t>n/a</w:t>
            </w:r>
          </w:p>
        </w:tc>
      </w:tr>
      <w:tr w:rsidR="006163EE" w14:paraId="640F3821" w14:textId="77777777" w:rsidTr="00AA196C">
        <w:trPr>
          <w:trHeight w:val="567"/>
        </w:trPr>
        <w:tc>
          <w:tcPr>
            <w:tcW w:w="2405" w:type="dxa"/>
            <w:vAlign w:val="center"/>
          </w:tcPr>
          <w:p w14:paraId="75BE540B" w14:textId="77777777" w:rsidR="006163EE" w:rsidRDefault="006163EE" w:rsidP="00AA196C">
            <w:pPr>
              <w:jc w:val="both"/>
            </w:pPr>
            <w:r>
              <w:t>Glasgow</w:t>
            </w:r>
          </w:p>
        </w:tc>
        <w:tc>
          <w:tcPr>
            <w:tcW w:w="2693" w:type="dxa"/>
            <w:vAlign w:val="center"/>
          </w:tcPr>
          <w:p w14:paraId="21AB1871" w14:textId="77777777" w:rsidR="006163EE" w:rsidRDefault="006163EE" w:rsidP="00AA196C">
            <w:pPr>
              <w:jc w:val="both"/>
            </w:pPr>
          </w:p>
          <w:p w14:paraId="3BD57700" w14:textId="77777777" w:rsidR="006163EE" w:rsidRDefault="006163EE" w:rsidP="00AA196C">
            <w:pPr>
              <w:jc w:val="both"/>
            </w:pPr>
            <w:r>
              <w:t>22 point scale – GPA</w:t>
            </w:r>
          </w:p>
          <w:p w14:paraId="07430D93" w14:textId="77777777" w:rsidR="006163EE" w:rsidRDefault="006163EE" w:rsidP="00AA196C">
            <w:pPr>
              <w:jc w:val="both"/>
            </w:pPr>
          </w:p>
        </w:tc>
        <w:tc>
          <w:tcPr>
            <w:tcW w:w="3402" w:type="dxa"/>
            <w:vAlign w:val="center"/>
          </w:tcPr>
          <w:p w14:paraId="326C7A53" w14:textId="77777777" w:rsidR="006163EE" w:rsidRDefault="006163EE" w:rsidP="00AA196C">
            <w:pPr>
              <w:jc w:val="both"/>
            </w:pPr>
            <w:r>
              <w:t>Conversion to percentage:</w:t>
            </w:r>
          </w:p>
          <w:p w14:paraId="069D854B" w14:textId="77777777" w:rsidR="006163EE" w:rsidRDefault="006163EE" w:rsidP="00AA196C">
            <w:pPr>
              <w:jc w:val="both"/>
            </w:pPr>
            <w:r>
              <w:t>X/22*100</w:t>
            </w:r>
          </w:p>
        </w:tc>
      </w:tr>
      <w:tr w:rsidR="006163EE" w14:paraId="0F6EB681" w14:textId="77777777" w:rsidTr="00AA196C">
        <w:trPr>
          <w:trHeight w:val="567"/>
        </w:trPr>
        <w:tc>
          <w:tcPr>
            <w:tcW w:w="2405" w:type="dxa"/>
            <w:vAlign w:val="center"/>
          </w:tcPr>
          <w:p w14:paraId="36E9386F" w14:textId="77777777" w:rsidR="006163EE" w:rsidRDefault="006163EE" w:rsidP="00AA196C">
            <w:pPr>
              <w:jc w:val="both"/>
            </w:pPr>
            <w:r>
              <w:t>Napier</w:t>
            </w:r>
          </w:p>
        </w:tc>
        <w:tc>
          <w:tcPr>
            <w:tcW w:w="2693" w:type="dxa"/>
            <w:vAlign w:val="center"/>
          </w:tcPr>
          <w:p w14:paraId="2C26CA20" w14:textId="77777777" w:rsidR="006163EE" w:rsidRDefault="006163EE" w:rsidP="00AA196C">
            <w:pPr>
              <w:jc w:val="both"/>
            </w:pPr>
            <w:r>
              <w:t>Percentage</w:t>
            </w:r>
          </w:p>
        </w:tc>
        <w:tc>
          <w:tcPr>
            <w:tcW w:w="3402" w:type="dxa"/>
            <w:vAlign w:val="center"/>
          </w:tcPr>
          <w:p w14:paraId="6724F242" w14:textId="77777777" w:rsidR="006163EE" w:rsidRDefault="006163EE" w:rsidP="00AA196C">
            <w:pPr>
              <w:jc w:val="both"/>
            </w:pPr>
            <w:r>
              <w:t>n/a</w:t>
            </w:r>
          </w:p>
        </w:tc>
      </w:tr>
      <w:tr w:rsidR="006163EE" w14:paraId="4CF54BA6" w14:textId="77777777" w:rsidTr="00AA196C">
        <w:trPr>
          <w:trHeight w:val="567"/>
        </w:trPr>
        <w:tc>
          <w:tcPr>
            <w:tcW w:w="2405" w:type="dxa"/>
            <w:vAlign w:val="center"/>
          </w:tcPr>
          <w:p w14:paraId="255C3540" w14:textId="77777777" w:rsidR="006163EE" w:rsidRDefault="006163EE" w:rsidP="00AA196C">
            <w:pPr>
              <w:jc w:val="both"/>
            </w:pPr>
            <w:r>
              <w:t>Robert Gordon</w:t>
            </w:r>
          </w:p>
        </w:tc>
        <w:tc>
          <w:tcPr>
            <w:tcW w:w="2693" w:type="dxa"/>
            <w:vAlign w:val="center"/>
          </w:tcPr>
          <w:p w14:paraId="5D73AF8A" w14:textId="77777777" w:rsidR="006163EE" w:rsidRDefault="006163EE" w:rsidP="00AA196C">
            <w:pPr>
              <w:jc w:val="both"/>
            </w:pPr>
            <w:r>
              <w:t>Percentage</w:t>
            </w:r>
          </w:p>
        </w:tc>
        <w:tc>
          <w:tcPr>
            <w:tcW w:w="3402" w:type="dxa"/>
            <w:vAlign w:val="center"/>
          </w:tcPr>
          <w:p w14:paraId="3A22326D" w14:textId="77777777" w:rsidR="006163EE" w:rsidRDefault="006163EE" w:rsidP="00AA196C">
            <w:pPr>
              <w:jc w:val="both"/>
            </w:pPr>
            <w:r>
              <w:t>n/a</w:t>
            </w:r>
          </w:p>
        </w:tc>
      </w:tr>
      <w:tr w:rsidR="006163EE" w14:paraId="4E06771C" w14:textId="77777777" w:rsidTr="00AA196C">
        <w:trPr>
          <w:trHeight w:val="567"/>
        </w:trPr>
        <w:tc>
          <w:tcPr>
            <w:tcW w:w="2405" w:type="dxa"/>
            <w:vAlign w:val="center"/>
          </w:tcPr>
          <w:p w14:paraId="79640727" w14:textId="77777777" w:rsidR="006163EE" w:rsidRDefault="006163EE" w:rsidP="00AA196C">
            <w:pPr>
              <w:jc w:val="both"/>
            </w:pPr>
            <w:r>
              <w:t>Stirling</w:t>
            </w:r>
          </w:p>
        </w:tc>
        <w:tc>
          <w:tcPr>
            <w:tcW w:w="2693" w:type="dxa"/>
            <w:vAlign w:val="center"/>
          </w:tcPr>
          <w:p w14:paraId="0D7359EF" w14:textId="77777777" w:rsidR="006163EE" w:rsidRDefault="006163EE" w:rsidP="00AA196C">
            <w:pPr>
              <w:jc w:val="both"/>
            </w:pPr>
            <w:r>
              <w:t>100 point scale - GPA</w:t>
            </w:r>
          </w:p>
        </w:tc>
        <w:tc>
          <w:tcPr>
            <w:tcW w:w="3402" w:type="dxa"/>
            <w:vAlign w:val="center"/>
          </w:tcPr>
          <w:p w14:paraId="1D4DD58E" w14:textId="77777777" w:rsidR="006163EE" w:rsidRDefault="006163EE" w:rsidP="00AA196C">
            <w:pPr>
              <w:jc w:val="both"/>
            </w:pPr>
            <w:r>
              <w:t>n/a</w:t>
            </w:r>
          </w:p>
        </w:tc>
      </w:tr>
      <w:tr w:rsidR="006163EE" w14:paraId="455F9BF8" w14:textId="77777777" w:rsidTr="00AA196C">
        <w:trPr>
          <w:trHeight w:val="567"/>
        </w:trPr>
        <w:tc>
          <w:tcPr>
            <w:tcW w:w="2405" w:type="dxa"/>
            <w:vAlign w:val="center"/>
          </w:tcPr>
          <w:p w14:paraId="691454CC" w14:textId="77777777" w:rsidR="006163EE" w:rsidRDefault="006163EE" w:rsidP="00AA196C">
            <w:pPr>
              <w:jc w:val="both"/>
            </w:pPr>
            <w:r>
              <w:t>Strathclyde</w:t>
            </w:r>
          </w:p>
        </w:tc>
        <w:tc>
          <w:tcPr>
            <w:tcW w:w="2693" w:type="dxa"/>
            <w:vAlign w:val="center"/>
          </w:tcPr>
          <w:p w14:paraId="4C05F7F7" w14:textId="77777777" w:rsidR="006163EE" w:rsidRDefault="006163EE" w:rsidP="00AA196C">
            <w:pPr>
              <w:jc w:val="both"/>
            </w:pPr>
            <w:r>
              <w:t>Percentage</w:t>
            </w:r>
          </w:p>
        </w:tc>
        <w:tc>
          <w:tcPr>
            <w:tcW w:w="3402" w:type="dxa"/>
            <w:vAlign w:val="center"/>
          </w:tcPr>
          <w:p w14:paraId="1C06A11D" w14:textId="77777777" w:rsidR="006163EE" w:rsidRDefault="006163EE" w:rsidP="00AA196C">
            <w:pPr>
              <w:jc w:val="both"/>
            </w:pPr>
            <w:r>
              <w:t>n/a</w:t>
            </w:r>
          </w:p>
        </w:tc>
      </w:tr>
      <w:tr w:rsidR="006163EE" w14:paraId="0C12F3E5" w14:textId="77777777" w:rsidTr="00AA196C">
        <w:trPr>
          <w:trHeight w:val="567"/>
        </w:trPr>
        <w:tc>
          <w:tcPr>
            <w:tcW w:w="2405" w:type="dxa"/>
            <w:vAlign w:val="center"/>
          </w:tcPr>
          <w:p w14:paraId="7FEF490A" w14:textId="77777777" w:rsidR="006163EE" w:rsidRDefault="006163EE" w:rsidP="00AA196C">
            <w:pPr>
              <w:jc w:val="both"/>
            </w:pPr>
            <w:r>
              <w:t>Law Society of Scotland</w:t>
            </w:r>
          </w:p>
        </w:tc>
        <w:tc>
          <w:tcPr>
            <w:tcW w:w="2693" w:type="dxa"/>
            <w:vAlign w:val="center"/>
          </w:tcPr>
          <w:p w14:paraId="19D1FD92" w14:textId="77777777" w:rsidR="006163EE" w:rsidRDefault="006163EE" w:rsidP="00AA196C">
            <w:pPr>
              <w:jc w:val="both"/>
            </w:pPr>
            <w:r>
              <w:t>20 point scale - GPA</w:t>
            </w:r>
          </w:p>
        </w:tc>
        <w:tc>
          <w:tcPr>
            <w:tcW w:w="3402" w:type="dxa"/>
            <w:vAlign w:val="center"/>
          </w:tcPr>
          <w:p w14:paraId="27F9841C" w14:textId="77777777" w:rsidR="006163EE" w:rsidRDefault="006163EE" w:rsidP="00AA196C">
            <w:pPr>
              <w:jc w:val="both"/>
            </w:pPr>
            <w:r>
              <w:t>Conversion to percentage:</w:t>
            </w:r>
          </w:p>
          <w:p w14:paraId="2A4DF73F" w14:textId="77777777" w:rsidR="006163EE" w:rsidRDefault="006163EE" w:rsidP="00AA196C">
            <w:pPr>
              <w:jc w:val="both"/>
            </w:pPr>
            <w:r>
              <w:t>X/20*100</w:t>
            </w:r>
          </w:p>
        </w:tc>
      </w:tr>
      <w:bookmarkEnd w:id="0"/>
    </w:tbl>
    <w:p w14:paraId="4E236105" w14:textId="77777777" w:rsidR="006163EE" w:rsidRDefault="006163EE" w:rsidP="006163EE">
      <w:pPr>
        <w:jc w:val="both"/>
        <w:rPr>
          <w:b/>
          <w:bCs/>
        </w:rPr>
      </w:pPr>
    </w:p>
    <w:p w14:paraId="5EABB137" w14:textId="6A988235" w:rsidR="00B607D0" w:rsidRDefault="00B607D0" w:rsidP="00B607D0">
      <w:pPr>
        <w:jc w:val="both"/>
        <w:rPr>
          <w:b/>
          <w:bCs/>
        </w:rPr>
      </w:pPr>
      <w:r>
        <w:rPr>
          <w:b/>
          <w:bCs/>
        </w:rPr>
        <w:t>b</w:t>
      </w:r>
      <w:r w:rsidRPr="00B607D0">
        <w:rPr>
          <w:b/>
          <w:bCs/>
        </w:rPr>
        <w:t xml:space="preserve">) Stage </w:t>
      </w:r>
      <w:r>
        <w:rPr>
          <w:b/>
          <w:bCs/>
        </w:rPr>
        <w:t>Two</w:t>
      </w:r>
      <w:r w:rsidRPr="00B607D0">
        <w:rPr>
          <w:b/>
          <w:bCs/>
        </w:rPr>
        <w:t xml:space="preserve">: </w:t>
      </w:r>
      <w:r>
        <w:rPr>
          <w:b/>
          <w:bCs/>
        </w:rPr>
        <w:t>“Normalisation” of GPA</w:t>
      </w:r>
    </w:p>
    <w:p w14:paraId="480BAD00" w14:textId="77777777" w:rsidR="00B607D0" w:rsidRDefault="00B607D0" w:rsidP="00B607D0">
      <w:pPr>
        <w:jc w:val="both"/>
      </w:pPr>
      <w:r>
        <w:t xml:space="preserve">In order to maintain the level playing field, applicants’ GPA will be “normalised” by use of the following formula. </w:t>
      </w:r>
    </w:p>
    <w:p w14:paraId="5469027C" w14:textId="5E784C15" w:rsidR="00B607D0" w:rsidRPr="00B607D0" w:rsidRDefault="00B607D0" w:rsidP="00B607D0">
      <w:pPr>
        <w:pStyle w:val="ListParagraph"/>
        <w:numPr>
          <w:ilvl w:val="0"/>
          <w:numId w:val="14"/>
        </w:numPr>
        <w:jc w:val="both"/>
        <w:rPr>
          <w:i/>
          <w:iCs/>
        </w:rPr>
      </w:pPr>
      <w:r w:rsidRPr="00B607D0">
        <w:rPr>
          <w:i/>
          <w:iCs/>
        </w:rPr>
        <w:lastRenderedPageBreak/>
        <w:t>Normalised GPA = Applicant GPA − (Average GPA of Undergraduate Institution − Overall Average GPA)</w:t>
      </w:r>
    </w:p>
    <w:p w14:paraId="66F6E626" w14:textId="7EBA1095" w:rsidR="00B607D0" w:rsidRDefault="00B607D0" w:rsidP="006163EE">
      <w:pPr>
        <w:jc w:val="both"/>
      </w:pPr>
      <w:r w:rsidRPr="00B607D0">
        <w:t xml:space="preserve">By applying this formula, any </w:t>
      </w:r>
      <w:r>
        <w:t xml:space="preserve">difference in approach by different undergraduate institutions will be addressed. </w:t>
      </w:r>
    </w:p>
    <w:p w14:paraId="701776F6" w14:textId="01D9998E" w:rsidR="00B607D0" w:rsidRPr="00B607D0" w:rsidRDefault="00B607D0" w:rsidP="006163EE">
      <w:pPr>
        <w:jc w:val="both"/>
      </w:pPr>
      <w:r w:rsidRPr="00B607D0">
        <w:rPr>
          <w:u w:val="single"/>
        </w:rPr>
        <w:t>Example</w:t>
      </w:r>
    </w:p>
    <w:p w14:paraId="6ECA36F8" w14:textId="7B9FEE67" w:rsidR="00B607D0" w:rsidRDefault="00B607D0" w:rsidP="00B607D0">
      <w:pPr>
        <w:pStyle w:val="ListParagraph"/>
        <w:numPr>
          <w:ilvl w:val="0"/>
          <w:numId w:val="14"/>
        </w:numPr>
        <w:jc w:val="both"/>
      </w:pPr>
      <w:r w:rsidRPr="00B607D0">
        <w:t>Institution</w:t>
      </w:r>
      <w:r>
        <w:t xml:space="preserve"> A has an average GPA, among those applying to the DPLP, of 40. </w:t>
      </w:r>
    </w:p>
    <w:p w14:paraId="54F6977C" w14:textId="61D07B5E" w:rsidR="00B607D0" w:rsidRDefault="00B607D0" w:rsidP="00B607D0">
      <w:pPr>
        <w:pStyle w:val="ListParagraph"/>
        <w:numPr>
          <w:ilvl w:val="0"/>
          <w:numId w:val="14"/>
        </w:numPr>
        <w:jc w:val="both"/>
      </w:pPr>
      <w:r>
        <w:t>Institution B has an average GPA, among those applying to the DPLP, of 50.</w:t>
      </w:r>
    </w:p>
    <w:p w14:paraId="739F6D28" w14:textId="71D52BFB" w:rsidR="00B607D0" w:rsidRDefault="00B607D0" w:rsidP="00B607D0">
      <w:pPr>
        <w:pStyle w:val="ListParagraph"/>
        <w:numPr>
          <w:ilvl w:val="0"/>
          <w:numId w:val="14"/>
        </w:numPr>
        <w:jc w:val="both"/>
      </w:pPr>
      <w:r>
        <w:t>Institution C has an average GPA, among those applying to the DPLP, of 60.</w:t>
      </w:r>
    </w:p>
    <w:p w14:paraId="52A6201D" w14:textId="38580BB8" w:rsidR="00B607D0" w:rsidRDefault="00B607D0" w:rsidP="00B607D0">
      <w:pPr>
        <w:pStyle w:val="ListParagraph"/>
        <w:numPr>
          <w:ilvl w:val="0"/>
          <w:numId w:val="14"/>
        </w:numPr>
        <w:jc w:val="both"/>
      </w:pPr>
      <w:r>
        <w:t>The overall average of all three institutions is 50.</w:t>
      </w:r>
    </w:p>
    <w:p w14:paraId="4DFEFE58" w14:textId="694935B0" w:rsidR="00B607D0" w:rsidRDefault="00B607D0" w:rsidP="00B607D0">
      <w:pPr>
        <w:jc w:val="both"/>
      </w:pPr>
      <w:r>
        <w:t>Applicant A, from Institution A, has a GPA of 40.  Applicant B, from Institution B, has a GPA of 50.  Applicant C, from Institution C, has a GPA of 60.  All applicants therefore reflect the average of their respective cohorts, but there is a clear difference in ranking.  To “normalise” this, we apply the formula.</w:t>
      </w:r>
    </w:p>
    <w:p w14:paraId="121095B1" w14:textId="30785A46" w:rsidR="00B607D0" w:rsidRDefault="00B607D0" w:rsidP="00B607D0">
      <w:pPr>
        <w:pStyle w:val="ListParagraph"/>
        <w:numPr>
          <w:ilvl w:val="0"/>
          <w:numId w:val="15"/>
        </w:numPr>
        <w:jc w:val="both"/>
      </w:pPr>
      <w:r>
        <w:t>Applicant A normalised GPA = 40 – (40 – 50) = 50</w:t>
      </w:r>
    </w:p>
    <w:p w14:paraId="0B53AC94" w14:textId="2EB7F87D" w:rsidR="00B607D0" w:rsidRDefault="00B607D0" w:rsidP="00B607D0">
      <w:pPr>
        <w:pStyle w:val="ListParagraph"/>
        <w:numPr>
          <w:ilvl w:val="0"/>
          <w:numId w:val="15"/>
        </w:numPr>
        <w:jc w:val="both"/>
      </w:pPr>
      <w:r>
        <w:t>Applicant B normalised GPA = 50 – (50 – 50) = 50</w:t>
      </w:r>
    </w:p>
    <w:p w14:paraId="24105800" w14:textId="1187133F" w:rsidR="00B607D0" w:rsidRDefault="00B607D0" w:rsidP="00B607D0">
      <w:pPr>
        <w:pStyle w:val="ListParagraph"/>
        <w:numPr>
          <w:ilvl w:val="0"/>
          <w:numId w:val="15"/>
        </w:numPr>
        <w:jc w:val="both"/>
      </w:pPr>
      <w:r>
        <w:t>Applicant C normalised GPA = 60 – (60 – 50) = 50</w:t>
      </w:r>
    </w:p>
    <w:p w14:paraId="17174E26" w14:textId="7F73FB51" w:rsidR="0090480E" w:rsidRDefault="0090480E" w:rsidP="0090480E">
      <w:pPr>
        <w:jc w:val="both"/>
      </w:pPr>
      <w:r>
        <w:t xml:space="preserve">All applicants </w:t>
      </w:r>
      <w:r w:rsidR="00D37CF0">
        <w:t>now</w:t>
      </w:r>
      <w:r>
        <w:t xml:space="preserve"> have a GPA of 50, which reflects the overall average.</w:t>
      </w:r>
    </w:p>
    <w:p w14:paraId="3E4DEBEF" w14:textId="77777777" w:rsidR="006163EE" w:rsidRPr="006163EE" w:rsidRDefault="006163EE" w:rsidP="00FB51F5">
      <w:pPr>
        <w:jc w:val="both"/>
        <w:rPr>
          <w:b/>
          <w:bCs/>
        </w:rPr>
      </w:pPr>
      <w:r w:rsidRPr="006163EE">
        <w:rPr>
          <w:b/>
          <w:bCs/>
        </w:rPr>
        <w:t>2.  Applicants with Historic Grades</w:t>
      </w:r>
    </w:p>
    <w:p w14:paraId="4E6117F9" w14:textId="77777777" w:rsidR="006163EE" w:rsidRPr="006163EE" w:rsidRDefault="006163EE" w:rsidP="006163EE">
      <w:pPr>
        <w:jc w:val="both"/>
        <w:rPr>
          <w:rFonts w:ascii="Calibri" w:eastAsia="DengXian" w:hAnsi="Calibri" w:cs="Arial"/>
          <w:lang w:eastAsia="zh-CN"/>
        </w:rPr>
      </w:pPr>
      <w:r w:rsidRPr="006163EE">
        <w:rPr>
          <w:rFonts w:ascii="Calibri" w:eastAsia="DengXian" w:hAnsi="Calibri" w:cs="Arial"/>
          <w:lang w:eastAsia="zh-CN"/>
        </w:rPr>
        <w:t>Each year, we receive applications from people who completed their LLB degree at Glasgow some years ago.  At Glasgow, the points attributed to grades have changed over time.  Further, new bands were introduced (</w:t>
      </w:r>
      <w:proofErr w:type="spellStart"/>
      <w:r w:rsidRPr="006163EE">
        <w:rPr>
          <w:rFonts w:ascii="Calibri" w:eastAsia="DengXian" w:hAnsi="Calibri" w:cs="Arial"/>
          <w:lang w:eastAsia="zh-CN"/>
        </w:rPr>
        <w:t>eg</w:t>
      </w:r>
      <w:proofErr w:type="spellEnd"/>
      <w:r w:rsidRPr="006163EE">
        <w:rPr>
          <w:rFonts w:ascii="Calibri" w:eastAsia="DengXian" w:hAnsi="Calibri" w:cs="Arial"/>
          <w:lang w:eastAsia="zh-CN"/>
        </w:rPr>
        <w:t xml:space="preserve"> A1, A2 and so on).  </w:t>
      </w:r>
    </w:p>
    <w:p w14:paraId="7DE197BA" w14:textId="7323B106" w:rsidR="006163EE" w:rsidRDefault="006163EE" w:rsidP="006163EE">
      <w:pPr>
        <w:jc w:val="both"/>
        <w:rPr>
          <w:rFonts w:ascii="Calibri" w:eastAsia="DengXian" w:hAnsi="Calibri" w:cs="Arial"/>
          <w:lang w:eastAsia="zh-CN"/>
        </w:rPr>
      </w:pPr>
      <w:r w:rsidRPr="006163EE">
        <w:rPr>
          <w:rFonts w:ascii="Calibri" w:eastAsia="DengXian" w:hAnsi="Calibri" w:cs="Arial"/>
          <w:lang w:eastAsia="zh-CN"/>
        </w:rPr>
        <w:t xml:space="preserve">It </w:t>
      </w:r>
      <w:r>
        <w:rPr>
          <w:rFonts w:ascii="Calibri" w:eastAsia="DengXian" w:hAnsi="Calibri" w:cs="Arial"/>
          <w:lang w:eastAsia="zh-CN"/>
        </w:rPr>
        <w:t>is</w:t>
      </w:r>
      <w:r w:rsidRPr="006163EE">
        <w:rPr>
          <w:rFonts w:ascii="Calibri" w:eastAsia="DengXian" w:hAnsi="Calibri" w:cs="Arial"/>
          <w:lang w:eastAsia="zh-CN"/>
        </w:rPr>
        <w:t xml:space="preserve"> unfair to penalise applicants who graduated earlier and </w:t>
      </w:r>
      <w:r w:rsidR="002D68BF">
        <w:rPr>
          <w:rFonts w:ascii="Calibri" w:eastAsia="DengXian" w:hAnsi="Calibri" w:cs="Arial"/>
          <w:lang w:eastAsia="zh-CN"/>
        </w:rPr>
        <w:t xml:space="preserve">so, to combat this issue, </w:t>
      </w:r>
      <w:r w:rsidRPr="006163EE">
        <w:rPr>
          <w:rFonts w:ascii="Calibri" w:eastAsia="DengXian" w:hAnsi="Calibri" w:cs="Arial"/>
          <w:lang w:eastAsia="zh-CN"/>
        </w:rPr>
        <w:t xml:space="preserve">the mid-point of each current grade point </w:t>
      </w:r>
      <w:r>
        <w:rPr>
          <w:rFonts w:ascii="Calibri" w:eastAsia="DengXian" w:hAnsi="Calibri" w:cs="Arial"/>
          <w:lang w:eastAsia="zh-CN"/>
        </w:rPr>
        <w:t xml:space="preserve">is assigned </w:t>
      </w:r>
      <w:r w:rsidRPr="006163EE">
        <w:rPr>
          <w:rFonts w:ascii="Calibri" w:eastAsia="DengXian" w:hAnsi="Calibri" w:cs="Arial"/>
          <w:lang w:eastAsia="zh-CN"/>
        </w:rPr>
        <w:t xml:space="preserve">to historic grades.  </w:t>
      </w:r>
    </w:p>
    <w:p w14:paraId="5286A677" w14:textId="77777777" w:rsidR="006163EE" w:rsidRPr="006163EE" w:rsidRDefault="00EE2298" w:rsidP="006163EE">
      <w:pPr>
        <w:jc w:val="both"/>
        <w:rPr>
          <w:rFonts w:ascii="Calibri" w:eastAsia="DengXian" w:hAnsi="Calibri" w:cs="Arial"/>
          <w:lang w:eastAsia="zh-CN"/>
        </w:rPr>
      </w:pPr>
      <w:r>
        <w:rPr>
          <w:rFonts w:ascii="Calibri" w:eastAsia="DengXian" w:hAnsi="Calibri" w:cs="Arial"/>
          <w:lang w:eastAsia="zh-CN"/>
        </w:rPr>
        <w:t>Table B</w:t>
      </w:r>
      <w:r w:rsidR="006163EE" w:rsidRPr="006163EE">
        <w:rPr>
          <w:rFonts w:ascii="Calibri" w:eastAsia="DengXian" w:hAnsi="Calibri" w:cs="Arial"/>
          <w:lang w:eastAsia="zh-CN"/>
        </w:rPr>
        <w:t xml:space="preserve"> below sets out the</w:t>
      </w:r>
      <w:r w:rsidR="006163EE">
        <w:rPr>
          <w:rFonts w:ascii="Calibri" w:eastAsia="DengXian" w:hAnsi="Calibri" w:cs="Arial"/>
          <w:lang w:eastAsia="zh-CN"/>
        </w:rPr>
        <w:t xml:space="preserve"> relevant points</w:t>
      </w:r>
      <w:r>
        <w:rPr>
          <w:rStyle w:val="FootnoteReference"/>
          <w:rFonts w:ascii="Calibri" w:eastAsia="DengXian" w:hAnsi="Calibri" w:cs="Arial"/>
          <w:lang w:eastAsia="zh-CN"/>
        </w:rPr>
        <w:footnoteReference w:id="2"/>
      </w:r>
      <w:r w:rsidR="006163EE" w:rsidRPr="006163EE">
        <w:rPr>
          <w:rFonts w:ascii="Calibri" w:eastAsia="DengXian" w:hAnsi="Calibri" w:cs="Arial"/>
          <w:lang w:eastAsia="zh-CN"/>
        </w:rPr>
        <w:t xml:space="preserve">.  </w:t>
      </w:r>
    </w:p>
    <w:tbl>
      <w:tblPr>
        <w:tblStyle w:val="TableGrid"/>
        <w:tblW w:w="0" w:type="auto"/>
        <w:tblLook w:val="04A0" w:firstRow="1" w:lastRow="0" w:firstColumn="1" w:lastColumn="0" w:noHBand="0" w:noVBand="1"/>
      </w:tblPr>
      <w:tblGrid>
        <w:gridCol w:w="988"/>
        <w:gridCol w:w="2409"/>
        <w:gridCol w:w="2410"/>
        <w:gridCol w:w="2410"/>
      </w:tblGrid>
      <w:tr w:rsidR="00EE2298" w:rsidRPr="006163EE" w14:paraId="14B147F8" w14:textId="77777777" w:rsidTr="002B1CC1">
        <w:tc>
          <w:tcPr>
            <w:tcW w:w="8217" w:type="dxa"/>
            <w:gridSpan w:val="4"/>
            <w:shd w:val="clear" w:color="auto" w:fill="F7CAAC"/>
          </w:tcPr>
          <w:p w14:paraId="12AD12A7" w14:textId="77777777" w:rsidR="00EE2298" w:rsidRPr="006163EE" w:rsidRDefault="00EE2298" w:rsidP="00EE2298">
            <w:pPr>
              <w:rPr>
                <w:rFonts w:ascii="Calibri" w:eastAsia="DengXian" w:hAnsi="Calibri" w:cs="Arial"/>
                <w:b/>
                <w:bCs/>
              </w:rPr>
            </w:pPr>
            <w:r>
              <w:rPr>
                <w:rFonts w:ascii="Calibri" w:eastAsia="DengXian" w:hAnsi="Calibri" w:cs="Arial"/>
                <w:b/>
                <w:bCs/>
              </w:rPr>
              <w:t>Table B</w:t>
            </w:r>
          </w:p>
        </w:tc>
      </w:tr>
      <w:tr w:rsidR="006163EE" w:rsidRPr="006163EE" w14:paraId="560B6B5B" w14:textId="77777777" w:rsidTr="006163EE">
        <w:tc>
          <w:tcPr>
            <w:tcW w:w="988" w:type="dxa"/>
            <w:shd w:val="clear" w:color="auto" w:fill="F7CAAC"/>
          </w:tcPr>
          <w:p w14:paraId="7022AA84"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Grade</w:t>
            </w:r>
          </w:p>
        </w:tc>
        <w:tc>
          <w:tcPr>
            <w:tcW w:w="2409" w:type="dxa"/>
            <w:shd w:val="clear" w:color="auto" w:fill="F7CAAC"/>
          </w:tcPr>
          <w:p w14:paraId="7CF47758"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Historic Grade Points</w:t>
            </w:r>
          </w:p>
        </w:tc>
        <w:tc>
          <w:tcPr>
            <w:tcW w:w="2410" w:type="dxa"/>
            <w:shd w:val="clear" w:color="auto" w:fill="F7CAAC"/>
          </w:tcPr>
          <w:p w14:paraId="499372AA"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Current Grade Points</w:t>
            </w:r>
          </w:p>
        </w:tc>
        <w:tc>
          <w:tcPr>
            <w:tcW w:w="2410" w:type="dxa"/>
            <w:shd w:val="clear" w:color="auto" w:fill="F7CAAC"/>
          </w:tcPr>
          <w:p w14:paraId="38A2BBCD"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Mid-point</w:t>
            </w:r>
          </w:p>
        </w:tc>
      </w:tr>
      <w:tr w:rsidR="006163EE" w:rsidRPr="006163EE" w14:paraId="504ED87B" w14:textId="77777777" w:rsidTr="00AA196C">
        <w:tc>
          <w:tcPr>
            <w:tcW w:w="988" w:type="dxa"/>
          </w:tcPr>
          <w:p w14:paraId="0F2271A1"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A</w:t>
            </w:r>
          </w:p>
        </w:tc>
        <w:tc>
          <w:tcPr>
            <w:tcW w:w="2409" w:type="dxa"/>
          </w:tcPr>
          <w:p w14:paraId="376DF2B9"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16</w:t>
            </w:r>
          </w:p>
        </w:tc>
        <w:tc>
          <w:tcPr>
            <w:tcW w:w="2410" w:type="dxa"/>
          </w:tcPr>
          <w:p w14:paraId="100576C1"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18 – 22</w:t>
            </w:r>
          </w:p>
        </w:tc>
        <w:tc>
          <w:tcPr>
            <w:tcW w:w="2410" w:type="dxa"/>
          </w:tcPr>
          <w:p w14:paraId="3CA991E5"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20</w:t>
            </w:r>
          </w:p>
        </w:tc>
      </w:tr>
      <w:tr w:rsidR="006163EE" w:rsidRPr="006163EE" w14:paraId="1B1BCFBF" w14:textId="77777777" w:rsidTr="00AA196C">
        <w:tc>
          <w:tcPr>
            <w:tcW w:w="988" w:type="dxa"/>
          </w:tcPr>
          <w:p w14:paraId="7BD3BBCC"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B</w:t>
            </w:r>
          </w:p>
        </w:tc>
        <w:tc>
          <w:tcPr>
            <w:tcW w:w="2409" w:type="dxa"/>
          </w:tcPr>
          <w:p w14:paraId="04D88E81"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14</w:t>
            </w:r>
          </w:p>
        </w:tc>
        <w:tc>
          <w:tcPr>
            <w:tcW w:w="2410" w:type="dxa"/>
          </w:tcPr>
          <w:p w14:paraId="02DF950D"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15 – 17</w:t>
            </w:r>
          </w:p>
        </w:tc>
        <w:tc>
          <w:tcPr>
            <w:tcW w:w="2410" w:type="dxa"/>
          </w:tcPr>
          <w:p w14:paraId="5665D150"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16</w:t>
            </w:r>
          </w:p>
        </w:tc>
      </w:tr>
      <w:tr w:rsidR="006163EE" w:rsidRPr="006163EE" w14:paraId="49EF875C" w14:textId="77777777" w:rsidTr="00AA196C">
        <w:tc>
          <w:tcPr>
            <w:tcW w:w="988" w:type="dxa"/>
          </w:tcPr>
          <w:p w14:paraId="14FD892A"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C</w:t>
            </w:r>
          </w:p>
        </w:tc>
        <w:tc>
          <w:tcPr>
            <w:tcW w:w="2409" w:type="dxa"/>
          </w:tcPr>
          <w:p w14:paraId="5D83BB44"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12</w:t>
            </w:r>
          </w:p>
        </w:tc>
        <w:tc>
          <w:tcPr>
            <w:tcW w:w="2410" w:type="dxa"/>
          </w:tcPr>
          <w:p w14:paraId="21B40396"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12 – 14</w:t>
            </w:r>
          </w:p>
        </w:tc>
        <w:tc>
          <w:tcPr>
            <w:tcW w:w="2410" w:type="dxa"/>
          </w:tcPr>
          <w:p w14:paraId="11FA49D7"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13</w:t>
            </w:r>
          </w:p>
        </w:tc>
      </w:tr>
      <w:tr w:rsidR="006163EE" w:rsidRPr="006163EE" w14:paraId="7A6A0E80" w14:textId="77777777" w:rsidTr="00AA196C">
        <w:tc>
          <w:tcPr>
            <w:tcW w:w="988" w:type="dxa"/>
          </w:tcPr>
          <w:p w14:paraId="0528AE7D"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D</w:t>
            </w:r>
          </w:p>
        </w:tc>
        <w:tc>
          <w:tcPr>
            <w:tcW w:w="2409" w:type="dxa"/>
          </w:tcPr>
          <w:p w14:paraId="04BAB1A1"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10</w:t>
            </w:r>
          </w:p>
        </w:tc>
        <w:tc>
          <w:tcPr>
            <w:tcW w:w="2410" w:type="dxa"/>
          </w:tcPr>
          <w:p w14:paraId="093D1428"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9 – 11</w:t>
            </w:r>
          </w:p>
        </w:tc>
        <w:tc>
          <w:tcPr>
            <w:tcW w:w="2410" w:type="dxa"/>
          </w:tcPr>
          <w:p w14:paraId="073AEB85"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10</w:t>
            </w:r>
          </w:p>
        </w:tc>
      </w:tr>
      <w:tr w:rsidR="006163EE" w:rsidRPr="006163EE" w14:paraId="6373E905" w14:textId="77777777" w:rsidTr="00AA196C">
        <w:tc>
          <w:tcPr>
            <w:tcW w:w="988" w:type="dxa"/>
          </w:tcPr>
          <w:p w14:paraId="51BB45C0"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E</w:t>
            </w:r>
          </w:p>
        </w:tc>
        <w:tc>
          <w:tcPr>
            <w:tcW w:w="2409" w:type="dxa"/>
          </w:tcPr>
          <w:p w14:paraId="186FBD54"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8</w:t>
            </w:r>
          </w:p>
        </w:tc>
        <w:tc>
          <w:tcPr>
            <w:tcW w:w="2410" w:type="dxa"/>
          </w:tcPr>
          <w:p w14:paraId="11BF0C8C"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6 – 8</w:t>
            </w:r>
          </w:p>
        </w:tc>
        <w:tc>
          <w:tcPr>
            <w:tcW w:w="2410" w:type="dxa"/>
          </w:tcPr>
          <w:p w14:paraId="6950FFD8"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7</w:t>
            </w:r>
          </w:p>
        </w:tc>
      </w:tr>
      <w:tr w:rsidR="006163EE" w:rsidRPr="006163EE" w14:paraId="647AB4E4" w14:textId="77777777" w:rsidTr="00AA196C">
        <w:tc>
          <w:tcPr>
            <w:tcW w:w="988" w:type="dxa"/>
          </w:tcPr>
          <w:p w14:paraId="70BF3FB4"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F</w:t>
            </w:r>
          </w:p>
        </w:tc>
        <w:tc>
          <w:tcPr>
            <w:tcW w:w="2409" w:type="dxa"/>
          </w:tcPr>
          <w:p w14:paraId="73FBC2E4"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6</w:t>
            </w:r>
          </w:p>
        </w:tc>
        <w:tc>
          <w:tcPr>
            <w:tcW w:w="2410" w:type="dxa"/>
          </w:tcPr>
          <w:p w14:paraId="1C709140"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3 – 5</w:t>
            </w:r>
          </w:p>
        </w:tc>
        <w:tc>
          <w:tcPr>
            <w:tcW w:w="2410" w:type="dxa"/>
          </w:tcPr>
          <w:p w14:paraId="258117CC"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4</w:t>
            </w:r>
          </w:p>
        </w:tc>
      </w:tr>
      <w:tr w:rsidR="006163EE" w:rsidRPr="006163EE" w14:paraId="51059BAB" w14:textId="77777777" w:rsidTr="00AA196C">
        <w:tc>
          <w:tcPr>
            <w:tcW w:w="988" w:type="dxa"/>
          </w:tcPr>
          <w:p w14:paraId="527A691E" w14:textId="77777777" w:rsidR="006163EE" w:rsidRPr="006163EE" w:rsidRDefault="006163EE" w:rsidP="006163EE">
            <w:pPr>
              <w:jc w:val="center"/>
              <w:rPr>
                <w:rFonts w:ascii="Calibri" w:eastAsia="DengXian" w:hAnsi="Calibri" w:cs="Arial"/>
                <w:b/>
                <w:bCs/>
              </w:rPr>
            </w:pPr>
            <w:r w:rsidRPr="006163EE">
              <w:rPr>
                <w:rFonts w:ascii="Calibri" w:eastAsia="DengXian" w:hAnsi="Calibri" w:cs="Arial"/>
                <w:b/>
                <w:bCs/>
              </w:rPr>
              <w:t>G</w:t>
            </w:r>
          </w:p>
        </w:tc>
        <w:tc>
          <w:tcPr>
            <w:tcW w:w="2409" w:type="dxa"/>
          </w:tcPr>
          <w:p w14:paraId="3D1F7904"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n/a</w:t>
            </w:r>
          </w:p>
        </w:tc>
        <w:tc>
          <w:tcPr>
            <w:tcW w:w="2410" w:type="dxa"/>
          </w:tcPr>
          <w:p w14:paraId="7B72757A"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1 – 2</w:t>
            </w:r>
          </w:p>
        </w:tc>
        <w:tc>
          <w:tcPr>
            <w:tcW w:w="2410" w:type="dxa"/>
          </w:tcPr>
          <w:p w14:paraId="7111C027" w14:textId="77777777" w:rsidR="006163EE" w:rsidRPr="006163EE" w:rsidRDefault="006163EE" w:rsidP="006163EE">
            <w:pPr>
              <w:jc w:val="center"/>
              <w:rPr>
                <w:rFonts w:ascii="Calibri" w:eastAsia="DengXian" w:hAnsi="Calibri" w:cs="Arial"/>
              </w:rPr>
            </w:pPr>
            <w:r w:rsidRPr="006163EE">
              <w:rPr>
                <w:rFonts w:ascii="Calibri" w:eastAsia="DengXian" w:hAnsi="Calibri" w:cs="Arial"/>
              </w:rPr>
              <w:t>n/a</w:t>
            </w:r>
          </w:p>
        </w:tc>
      </w:tr>
    </w:tbl>
    <w:p w14:paraId="5F31C091" w14:textId="77777777" w:rsidR="006163EE" w:rsidRDefault="006163EE" w:rsidP="00FB51F5">
      <w:pPr>
        <w:jc w:val="both"/>
      </w:pPr>
    </w:p>
    <w:p w14:paraId="12B56587" w14:textId="77777777" w:rsidR="002D68BF" w:rsidRDefault="006163EE" w:rsidP="006163EE">
      <w:pPr>
        <w:jc w:val="both"/>
      </w:pPr>
      <w:r>
        <w:lastRenderedPageBreak/>
        <w:t xml:space="preserve">Once the GPA is calculated, it will be converted to a percentage, in </w:t>
      </w:r>
      <w:r w:rsidR="002D68BF">
        <w:t>accordance</w:t>
      </w:r>
      <w:r>
        <w:t xml:space="preserve"> with</w:t>
      </w:r>
      <w:r w:rsidR="00EE2298">
        <w:t xml:space="preserve"> Table A</w:t>
      </w:r>
      <w:r>
        <w:t xml:space="preserve">. </w:t>
      </w:r>
    </w:p>
    <w:p w14:paraId="5404A044" w14:textId="77777777" w:rsidR="006163EE" w:rsidRPr="002D68BF" w:rsidRDefault="002D68BF" w:rsidP="002D68BF">
      <w:pPr>
        <w:jc w:val="both"/>
        <w:rPr>
          <w:b/>
          <w:bCs/>
        </w:rPr>
      </w:pPr>
      <w:r w:rsidRPr="002D68BF">
        <w:rPr>
          <w:b/>
          <w:bCs/>
        </w:rPr>
        <w:t>3.  Law Society of Scotland</w:t>
      </w:r>
      <w:r>
        <w:rPr>
          <w:b/>
          <w:bCs/>
        </w:rPr>
        <w:t xml:space="preserve"> (LSS)</w:t>
      </w:r>
      <w:r w:rsidRPr="002D68BF">
        <w:rPr>
          <w:b/>
          <w:bCs/>
        </w:rPr>
        <w:t xml:space="preserve"> Qualifications</w:t>
      </w:r>
    </w:p>
    <w:p w14:paraId="508541B2" w14:textId="77777777" w:rsidR="002D68BF" w:rsidRDefault="002D68BF" w:rsidP="002D68BF">
      <w:pPr>
        <w:jc w:val="both"/>
      </w:pPr>
      <w:r>
        <w:t>We occasionally receive applications from Glasgow applicants</w:t>
      </w:r>
      <w:r w:rsidR="005D0BA9">
        <w:rPr>
          <w:rStyle w:val="FootnoteReference"/>
        </w:rPr>
        <w:footnoteReference w:id="3"/>
      </w:r>
      <w:r>
        <w:t xml:space="preserve"> who are missing one or two foundation subjects and have completed these subjects by passing LSS examinations. </w:t>
      </w:r>
    </w:p>
    <w:p w14:paraId="23362035" w14:textId="77777777" w:rsidR="002D68BF" w:rsidRDefault="002D68BF" w:rsidP="002D68BF">
      <w:pPr>
        <w:jc w:val="both"/>
      </w:pPr>
      <w:r>
        <w:t xml:space="preserve">The credit weighting attributable to the relevant subject in the relevant year is applied.  </w:t>
      </w:r>
    </w:p>
    <w:p w14:paraId="6E7E6339" w14:textId="77777777" w:rsidR="002D68BF" w:rsidRDefault="002D68BF" w:rsidP="002D68BF">
      <w:pPr>
        <w:jc w:val="both"/>
      </w:pPr>
      <w:r>
        <w:t xml:space="preserve">For example, if an applicant had completed all </w:t>
      </w:r>
      <w:r w:rsidR="00C82EB1">
        <w:t>F</w:t>
      </w:r>
      <w:r>
        <w:t xml:space="preserve">oundation </w:t>
      </w:r>
      <w:r w:rsidR="00C82EB1">
        <w:t>Subjects</w:t>
      </w:r>
      <w:r>
        <w:t xml:space="preserve"> at Glasgow in 2012/3 with the exception of Obligations 1A and Property Law, we take their LSS GPA for those subjects and apply Glasgow’s credit weighting (from 2012/3), with a view to </w:t>
      </w:r>
      <w:r w:rsidR="00A340FE">
        <w:t>determining</w:t>
      </w:r>
      <w:r>
        <w:t xml:space="preserve"> an overall GPA.  </w:t>
      </w:r>
      <w:r w:rsidR="00A340FE">
        <w:t xml:space="preserve">That GPA is then converted to a percentage in accordance with </w:t>
      </w:r>
      <w:r w:rsidR="00EE2298">
        <w:t>Table A</w:t>
      </w:r>
      <w:r w:rsidR="00A340FE">
        <w:t xml:space="preserve">.  </w:t>
      </w:r>
    </w:p>
    <w:p w14:paraId="01B176F9" w14:textId="77777777" w:rsidR="002D68BF" w:rsidRDefault="002D68BF" w:rsidP="002D68BF">
      <w:pPr>
        <w:jc w:val="both"/>
      </w:pPr>
    </w:p>
    <w:p w14:paraId="102DEC47" w14:textId="77777777" w:rsidR="006163EE" w:rsidRPr="006163EE" w:rsidRDefault="006163EE" w:rsidP="00FB51F5">
      <w:pPr>
        <w:jc w:val="both"/>
      </w:pPr>
    </w:p>
    <w:sectPr w:rsidR="006163EE" w:rsidRPr="006163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CB05" w14:textId="77777777" w:rsidR="00283C3A" w:rsidRDefault="00283C3A" w:rsidP="00AB772E">
      <w:pPr>
        <w:spacing w:after="0" w:line="240" w:lineRule="auto"/>
      </w:pPr>
      <w:r>
        <w:separator/>
      </w:r>
    </w:p>
  </w:endnote>
  <w:endnote w:type="continuationSeparator" w:id="0">
    <w:p w14:paraId="7825465E" w14:textId="77777777" w:rsidR="00283C3A" w:rsidRDefault="00283C3A" w:rsidP="00AB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649D" w14:textId="77777777" w:rsidR="0090480E" w:rsidRDefault="0090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85C1" w14:textId="77777777" w:rsidR="0090480E" w:rsidRDefault="0090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452F" w14:textId="77777777" w:rsidR="0090480E" w:rsidRDefault="0090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72D9" w14:textId="77777777" w:rsidR="00283C3A" w:rsidRDefault="00283C3A" w:rsidP="00AB772E">
      <w:pPr>
        <w:spacing w:after="0" w:line="240" w:lineRule="auto"/>
      </w:pPr>
      <w:r>
        <w:separator/>
      </w:r>
    </w:p>
  </w:footnote>
  <w:footnote w:type="continuationSeparator" w:id="0">
    <w:p w14:paraId="2964BD92" w14:textId="77777777" w:rsidR="00283C3A" w:rsidRDefault="00283C3A" w:rsidP="00AB772E">
      <w:pPr>
        <w:spacing w:after="0" w:line="240" w:lineRule="auto"/>
      </w:pPr>
      <w:r>
        <w:continuationSeparator/>
      </w:r>
    </w:p>
  </w:footnote>
  <w:footnote w:id="1">
    <w:p w14:paraId="5BA81B52" w14:textId="77777777" w:rsidR="00EE2298" w:rsidRDefault="00EE2298" w:rsidP="00EE2298">
      <w:pPr>
        <w:pStyle w:val="Footer"/>
      </w:pPr>
      <w:r>
        <w:rPr>
          <w:rStyle w:val="FootnoteReference"/>
        </w:rPr>
        <w:footnoteRef/>
      </w:r>
      <w:r>
        <w:t xml:space="preserve"> Subjects which meet the Law Society of Scotland’s foundation programme outcomes and which are necessary for entry to the DPLP.  </w:t>
      </w:r>
    </w:p>
    <w:p w14:paraId="5B2D0C67" w14:textId="77777777" w:rsidR="00EE2298" w:rsidRDefault="00EE2298">
      <w:pPr>
        <w:pStyle w:val="FootnoteText"/>
      </w:pPr>
    </w:p>
  </w:footnote>
  <w:footnote w:id="2">
    <w:p w14:paraId="6A41AFAB" w14:textId="77777777" w:rsidR="00EE2298" w:rsidRDefault="00EE2298" w:rsidP="00EE2298">
      <w:pPr>
        <w:jc w:val="both"/>
      </w:pPr>
      <w:r>
        <w:rPr>
          <w:rStyle w:val="FootnoteReference"/>
        </w:rPr>
        <w:footnoteRef/>
      </w:r>
      <w:r>
        <w:t xml:space="preserve"> It is clear that those applicants who achieved a D or above benefit.  However, those who achieved an E or lower will not benefit.  In the interests of fairness, though, this is the best approach.  Most applicants who stand a chance of obtaining a place to study the DPLP at Glasgow will have grades of D and above.  </w:t>
      </w:r>
    </w:p>
    <w:p w14:paraId="74FD34AB" w14:textId="77777777" w:rsidR="00EE2298" w:rsidRDefault="00EE2298">
      <w:pPr>
        <w:pStyle w:val="FootnoteText"/>
      </w:pPr>
    </w:p>
  </w:footnote>
  <w:footnote w:id="3">
    <w:p w14:paraId="30DA867F" w14:textId="77777777" w:rsidR="005D0BA9" w:rsidRDefault="005D0BA9" w:rsidP="005D0BA9">
      <w:pPr>
        <w:jc w:val="both"/>
      </w:pPr>
      <w:r>
        <w:rPr>
          <w:rStyle w:val="FootnoteReference"/>
        </w:rPr>
        <w:footnoteRef/>
      </w:r>
      <w:r>
        <w:t xml:space="preserve"> Applicants who completed their LLB at other providers (and who have undertaken ad hoc LSS examinations) are not our concern, as it is the responsibility of the other providers to attribute an overall GPA or percentage (which will thereafter be converted, if necessary, in accordance with Table A).  </w:t>
      </w:r>
    </w:p>
    <w:p w14:paraId="4A669213" w14:textId="77777777" w:rsidR="005D0BA9" w:rsidRDefault="005D0B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E44A" w14:textId="32CDAF96" w:rsidR="0090480E" w:rsidRDefault="005B1A33">
    <w:pPr>
      <w:pStyle w:val="Header"/>
    </w:pPr>
    <w:r>
      <w:rPr>
        <w:noProof/>
      </w:rPr>
      <mc:AlternateContent>
        <mc:Choice Requires="wps">
          <w:drawing>
            <wp:anchor distT="0" distB="0" distL="0" distR="0" simplePos="0" relativeHeight="251659264" behindDoc="0" locked="0" layoutInCell="1" allowOverlap="1" wp14:anchorId="17D5C9D0" wp14:editId="559D8309">
              <wp:simplePos x="635" y="635"/>
              <wp:positionH relativeFrom="page">
                <wp:align>center</wp:align>
              </wp:positionH>
              <wp:positionV relativeFrom="page">
                <wp:align>top</wp:align>
              </wp:positionV>
              <wp:extent cx="443865" cy="443865"/>
              <wp:effectExtent l="0" t="0" r="12700" b="4445"/>
              <wp:wrapNone/>
              <wp:docPr id="657606550"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0B871" w14:textId="7FA0C694"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C9D0"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B0B871" w14:textId="7FA0C694"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6189" w14:textId="496AEEA3" w:rsidR="0090480E" w:rsidRDefault="005B1A33">
    <w:pPr>
      <w:pStyle w:val="Header"/>
    </w:pPr>
    <w:r>
      <w:rPr>
        <w:noProof/>
      </w:rPr>
      <mc:AlternateContent>
        <mc:Choice Requires="wps">
          <w:drawing>
            <wp:anchor distT="0" distB="0" distL="0" distR="0" simplePos="0" relativeHeight="251660288" behindDoc="0" locked="0" layoutInCell="1" allowOverlap="1" wp14:anchorId="2651C84C" wp14:editId="6507265E">
              <wp:simplePos x="914400" y="449580"/>
              <wp:positionH relativeFrom="page">
                <wp:align>center</wp:align>
              </wp:positionH>
              <wp:positionV relativeFrom="page">
                <wp:align>top</wp:align>
              </wp:positionV>
              <wp:extent cx="443865" cy="443865"/>
              <wp:effectExtent l="0" t="0" r="12700" b="4445"/>
              <wp:wrapNone/>
              <wp:docPr id="1715253319"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9DB4A" w14:textId="271E7A7B"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51C84C"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AB9DB4A" w14:textId="271E7A7B"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E600" w14:textId="07705C80" w:rsidR="0090480E" w:rsidRDefault="005B1A33">
    <w:pPr>
      <w:pStyle w:val="Header"/>
    </w:pPr>
    <w:r>
      <w:rPr>
        <w:noProof/>
      </w:rPr>
      <mc:AlternateContent>
        <mc:Choice Requires="wps">
          <w:drawing>
            <wp:anchor distT="0" distB="0" distL="0" distR="0" simplePos="0" relativeHeight="251658240" behindDoc="0" locked="0" layoutInCell="1" allowOverlap="1" wp14:anchorId="7C993E63" wp14:editId="594C1EA3">
              <wp:simplePos x="635" y="635"/>
              <wp:positionH relativeFrom="page">
                <wp:align>center</wp:align>
              </wp:positionH>
              <wp:positionV relativeFrom="page">
                <wp:align>top</wp:align>
              </wp:positionV>
              <wp:extent cx="443865" cy="443865"/>
              <wp:effectExtent l="0" t="0" r="12700" b="4445"/>
              <wp:wrapNone/>
              <wp:docPr id="447638462"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9A70C" w14:textId="2DFA64D5"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93E63"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929A70C" w14:textId="2DFA64D5" w:rsidR="005B1A33" w:rsidRPr="005B1A33" w:rsidRDefault="005B1A33" w:rsidP="005B1A33">
                    <w:pPr>
                      <w:spacing w:after="0"/>
                      <w:rPr>
                        <w:rFonts w:ascii="Calibri" w:eastAsia="Calibri" w:hAnsi="Calibri" w:cs="Calibri"/>
                        <w:noProof/>
                        <w:color w:val="000000"/>
                        <w:sz w:val="20"/>
                        <w:szCs w:val="20"/>
                      </w:rPr>
                    </w:pPr>
                    <w:r w:rsidRPr="005B1A33">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F4"/>
    <w:multiLevelType w:val="hybridMultilevel"/>
    <w:tmpl w:val="A896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F66DF2"/>
    <w:multiLevelType w:val="hybridMultilevel"/>
    <w:tmpl w:val="3B8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97E"/>
    <w:multiLevelType w:val="hybridMultilevel"/>
    <w:tmpl w:val="8D86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24278"/>
    <w:multiLevelType w:val="hybridMultilevel"/>
    <w:tmpl w:val="0DE8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A4857"/>
    <w:multiLevelType w:val="hybridMultilevel"/>
    <w:tmpl w:val="76202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A42A8"/>
    <w:multiLevelType w:val="hybridMultilevel"/>
    <w:tmpl w:val="3444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F673E"/>
    <w:multiLevelType w:val="hybridMultilevel"/>
    <w:tmpl w:val="D8F825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CAAF00C">
      <w:start w:val="8"/>
      <w:numFmt w:val="bullet"/>
      <w:lvlText w:val=""/>
      <w:lvlJc w:val="left"/>
      <w:pPr>
        <w:ind w:left="2340" w:hanging="360"/>
      </w:pPr>
      <w:rPr>
        <w:rFonts w:ascii="Symbol" w:eastAsiaTheme="minorHAnsi" w:hAnsi="Symbol"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D44C0"/>
    <w:multiLevelType w:val="hybridMultilevel"/>
    <w:tmpl w:val="6902FC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A1FFE"/>
    <w:multiLevelType w:val="hybridMultilevel"/>
    <w:tmpl w:val="11BE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D2C57"/>
    <w:multiLevelType w:val="hybridMultilevel"/>
    <w:tmpl w:val="77AC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F6146"/>
    <w:multiLevelType w:val="hybridMultilevel"/>
    <w:tmpl w:val="F460A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6A2344"/>
    <w:multiLevelType w:val="hybridMultilevel"/>
    <w:tmpl w:val="64CA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7777A"/>
    <w:multiLevelType w:val="hybridMultilevel"/>
    <w:tmpl w:val="C88E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759C2"/>
    <w:multiLevelType w:val="hybridMultilevel"/>
    <w:tmpl w:val="74C2A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A0585"/>
    <w:multiLevelType w:val="hybridMultilevel"/>
    <w:tmpl w:val="D26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919462">
    <w:abstractNumId w:val="6"/>
  </w:num>
  <w:num w:numId="2" w16cid:durableId="1786776024">
    <w:abstractNumId w:val="7"/>
  </w:num>
  <w:num w:numId="3" w16cid:durableId="1026060193">
    <w:abstractNumId w:val="11"/>
  </w:num>
  <w:num w:numId="4" w16cid:durableId="415248707">
    <w:abstractNumId w:val="8"/>
  </w:num>
  <w:num w:numId="5" w16cid:durableId="1264531750">
    <w:abstractNumId w:val="9"/>
  </w:num>
  <w:num w:numId="6" w16cid:durableId="659431479">
    <w:abstractNumId w:val="12"/>
  </w:num>
  <w:num w:numId="7" w16cid:durableId="2102289868">
    <w:abstractNumId w:val="13"/>
  </w:num>
  <w:num w:numId="8" w16cid:durableId="810825411">
    <w:abstractNumId w:val="3"/>
  </w:num>
  <w:num w:numId="9" w16cid:durableId="352923260">
    <w:abstractNumId w:val="0"/>
  </w:num>
  <w:num w:numId="10" w16cid:durableId="16465567">
    <w:abstractNumId w:val="10"/>
  </w:num>
  <w:num w:numId="11" w16cid:durableId="592668935">
    <w:abstractNumId w:val="14"/>
  </w:num>
  <w:num w:numId="12" w16cid:durableId="653877164">
    <w:abstractNumId w:val="4"/>
  </w:num>
  <w:num w:numId="13" w16cid:durableId="108165001">
    <w:abstractNumId w:val="2"/>
  </w:num>
  <w:num w:numId="14" w16cid:durableId="904951052">
    <w:abstractNumId w:val="5"/>
  </w:num>
  <w:num w:numId="15" w16cid:durableId="95880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B2"/>
    <w:rsid w:val="00013005"/>
    <w:rsid w:val="00044DB7"/>
    <w:rsid w:val="000A63BA"/>
    <w:rsid w:val="000F407C"/>
    <w:rsid w:val="001931E4"/>
    <w:rsid w:val="001A12FA"/>
    <w:rsid w:val="0020724C"/>
    <w:rsid w:val="002519B2"/>
    <w:rsid w:val="00283C3A"/>
    <w:rsid w:val="002B591D"/>
    <w:rsid w:val="002D68BF"/>
    <w:rsid w:val="003879DB"/>
    <w:rsid w:val="003A52DE"/>
    <w:rsid w:val="003B5D02"/>
    <w:rsid w:val="003C5642"/>
    <w:rsid w:val="003F50E5"/>
    <w:rsid w:val="00476353"/>
    <w:rsid w:val="004F1C73"/>
    <w:rsid w:val="004F5564"/>
    <w:rsid w:val="004F6C6B"/>
    <w:rsid w:val="0053531F"/>
    <w:rsid w:val="0054153A"/>
    <w:rsid w:val="005B1A33"/>
    <w:rsid w:val="005D0BA9"/>
    <w:rsid w:val="006163EE"/>
    <w:rsid w:val="00625F0D"/>
    <w:rsid w:val="00633E39"/>
    <w:rsid w:val="006501D6"/>
    <w:rsid w:val="00651D32"/>
    <w:rsid w:val="00681B34"/>
    <w:rsid w:val="00686D4D"/>
    <w:rsid w:val="006B14CC"/>
    <w:rsid w:val="008A793F"/>
    <w:rsid w:val="008B163B"/>
    <w:rsid w:val="008D37D7"/>
    <w:rsid w:val="0090480E"/>
    <w:rsid w:val="00935A87"/>
    <w:rsid w:val="0096704A"/>
    <w:rsid w:val="00967362"/>
    <w:rsid w:val="009B6E78"/>
    <w:rsid w:val="00A2438E"/>
    <w:rsid w:val="00A340FE"/>
    <w:rsid w:val="00A6389C"/>
    <w:rsid w:val="00AA6D00"/>
    <w:rsid w:val="00AB772E"/>
    <w:rsid w:val="00AD05F4"/>
    <w:rsid w:val="00AD6B9E"/>
    <w:rsid w:val="00B607D0"/>
    <w:rsid w:val="00B7525D"/>
    <w:rsid w:val="00BE2E13"/>
    <w:rsid w:val="00C070F7"/>
    <w:rsid w:val="00C1168A"/>
    <w:rsid w:val="00C24C47"/>
    <w:rsid w:val="00C82EB1"/>
    <w:rsid w:val="00D37CF0"/>
    <w:rsid w:val="00DA45E8"/>
    <w:rsid w:val="00DD4AF2"/>
    <w:rsid w:val="00E80372"/>
    <w:rsid w:val="00EB028D"/>
    <w:rsid w:val="00EC497C"/>
    <w:rsid w:val="00EE01F5"/>
    <w:rsid w:val="00EE2298"/>
    <w:rsid w:val="00F53078"/>
    <w:rsid w:val="00FB5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2129"/>
  <w15:chartTrackingRefBased/>
  <w15:docId w15:val="{6881A7A6-7F14-43C6-9FEA-F659620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53"/>
    <w:pPr>
      <w:ind w:left="720"/>
      <w:contextualSpacing/>
    </w:pPr>
  </w:style>
  <w:style w:type="paragraph" w:styleId="BalloonText">
    <w:name w:val="Balloon Text"/>
    <w:basedOn w:val="Normal"/>
    <w:link w:val="BalloonTextChar"/>
    <w:uiPriority w:val="99"/>
    <w:semiHidden/>
    <w:unhideWhenUsed/>
    <w:rsid w:val="00044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B7"/>
    <w:rPr>
      <w:rFonts w:ascii="Segoe UI" w:hAnsi="Segoe UI" w:cs="Segoe UI"/>
      <w:sz w:val="18"/>
      <w:szCs w:val="18"/>
    </w:rPr>
  </w:style>
  <w:style w:type="paragraph" w:styleId="Header">
    <w:name w:val="header"/>
    <w:basedOn w:val="Normal"/>
    <w:link w:val="HeaderChar"/>
    <w:uiPriority w:val="99"/>
    <w:unhideWhenUsed/>
    <w:rsid w:val="00AB7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72E"/>
  </w:style>
  <w:style w:type="paragraph" w:styleId="Footer">
    <w:name w:val="footer"/>
    <w:basedOn w:val="Normal"/>
    <w:link w:val="FooterChar"/>
    <w:uiPriority w:val="99"/>
    <w:unhideWhenUsed/>
    <w:rsid w:val="00AB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72E"/>
  </w:style>
  <w:style w:type="table" w:styleId="TableGrid">
    <w:name w:val="Table Grid"/>
    <w:basedOn w:val="TableNormal"/>
    <w:uiPriority w:val="39"/>
    <w:rsid w:val="006163E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2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298"/>
    <w:rPr>
      <w:sz w:val="20"/>
      <w:szCs w:val="20"/>
    </w:rPr>
  </w:style>
  <w:style w:type="character" w:styleId="FootnoteReference">
    <w:name w:val="footnote reference"/>
    <w:basedOn w:val="DefaultParagraphFont"/>
    <w:uiPriority w:val="99"/>
    <w:semiHidden/>
    <w:unhideWhenUsed/>
    <w:rsid w:val="00EE2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2074">
      <w:bodyDiv w:val="1"/>
      <w:marLeft w:val="0"/>
      <w:marRight w:val="0"/>
      <w:marTop w:val="0"/>
      <w:marBottom w:val="0"/>
      <w:divBdr>
        <w:top w:val="none" w:sz="0" w:space="0" w:color="auto"/>
        <w:left w:val="none" w:sz="0" w:space="0" w:color="auto"/>
        <w:bottom w:val="none" w:sz="0" w:space="0" w:color="auto"/>
        <w:right w:val="none" w:sz="0" w:space="0" w:color="auto"/>
      </w:divBdr>
    </w:div>
    <w:div w:id="80912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B44112EB6A846A87AA817FB9DD132" ma:contentTypeVersion="14" ma:contentTypeDescription="Create a new document." ma:contentTypeScope="" ma:versionID="596878f50e0f72b69c1b1e77a2905578">
  <xsd:schema xmlns:xsd="http://www.w3.org/2001/XMLSchema" xmlns:xs="http://www.w3.org/2001/XMLSchema" xmlns:p="http://schemas.microsoft.com/office/2006/metadata/properties" xmlns:ns2="c4b97a41-5266-4b8e-a549-e9a1209bca76" xmlns:ns3="720fbf4e-17a5-474f-b2fe-121016064cd3" targetNamespace="http://schemas.microsoft.com/office/2006/metadata/properties" ma:root="true" ma:fieldsID="2426e66828d58ab6a9ec607ec033e1d2" ns2:_="" ns3:_="">
    <xsd:import namespace="c4b97a41-5266-4b8e-a549-e9a1209bca76"/>
    <xsd:import namespace="720fbf4e-17a5-474f-b2fe-121016064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7a41-5266-4b8e-a549-e9a1209bc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fbf4e-17a5-474f-b2fe-121016064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3238-141F-45C5-9782-CADE5106CF16}">
  <ds:schemaRefs>
    <ds:schemaRef ds:uri="http://schemas.microsoft.com/sharepoint/v3/contenttype/forms"/>
  </ds:schemaRefs>
</ds:datastoreItem>
</file>

<file path=customXml/itemProps2.xml><?xml version="1.0" encoding="utf-8"?>
<ds:datastoreItem xmlns:ds="http://schemas.openxmlformats.org/officeDocument/2006/customXml" ds:itemID="{8B9B2B33-1F64-4E84-AA46-7A283E51AE83}"/>
</file>

<file path=customXml/itemProps3.xml><?xml version="1.0" encoding="utf-8"?>
<ds:datastoreItem xmlns:ds="http://schemas.openxmlformats.org/officeDocument/2006/customXml" ds:itemID="{B206E4C7-BC15-40DC-803B-04EDF8EA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Trewern</dc:creator>
  <cp:keywords/>
  <dc:description/>
  <cp:lastModifiedBy>Kay McLellan</cp:lastModifiedBy>
  <cp:revision>2</cp:revision>
  <cp:lastPrinted>2023-07-04T13:51:00Z</cp:lastPrinted>
  <dcterms:created xsi:type="dcterms:W3CDTF">2024-03-19T16:27:00Z</dcterms:created>
  <dcterms:modified xsi:type="dcterms:W3CDTF">2024-03-19T16:27:00Z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1aae6bbe,27324796,663cb047</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2024-03-19T16:26:33Z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83787e70-a976-484b-a7db-3d502c0208f4</vt:lpwstr>
  </property>
  <property fmtid="{D5CDD505-2E9C-101B-9397-08002B2CF9AE}" pid="11" name="MSIP_Label_8c4f9631-30d6-49a7-a3d1-de476dfe7bde_ContentBits">
    <vt:lpwstr>1</vt:lpwstr>
  </property>
</Properties>
</file>